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366F" w14:textId="77777777" w:rsidR="006163F4" w:rsidRDefault="006163F4" w:rsidP="001C1E17">
      <w:pPr>
        <w:pStyle w:val="Heading2"/>
        <w:spacing w:before="0" w:line="240" w:lineRule="auto"/>
        <w:jc w:val="center"/>
        <w:rPr>
          <w:rFonts w:eastAsia="Batang"/>
          <w:color w:val="17365D" w:themeColor="text2" w:themeShade="BF"/>
        </w:rPr>
      </w:pPr>
      <w:r>
        <w:rPr>
          <w:rFonts w:eastAsia="Batang"/>
          <w:noProof/>
          <w:color w:val="17365D" w:themeColor="text2" w:themeShade="BF"/>
        </w:rPr>
        <w:drawing>
          <wp:inline distT="0" distB="0" distL="0" distR="0" wp14:anchorId="5E596E28" wp14:editId="1D67E716">
            <wp:extent cx="2322576" cy="36880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Management_UF.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576" cy="368808"/>
                    </a:xfrm>
                    <a:prstGeom prst="rect">
                      <a:avLst/>
                    </a:prstGeom>
                  </pic:spPr>
                </pic:pic>
              </a:graphicData>
            </a:graphic>
          </wp:inline>
        </w:drawing>
      </w:r>
    </w:p>
    <w:p w14:paraId="6FA607E1" w14:textId="77777777" w:rsidR="006163F4" w:rsidRDefault="006163F4" w:rsidP="001C1E17">
      <w:pPr>
        <w:pStyle w:val="Heading2"/>
        <w:spacing w:before="0" w:line="240" w:lineRule="auto"/>
        <w:jc w:val="center"/>
        <w:rPr>
          <w:rFonts w:eastAsia="Batang"/>
          <w:color w:val="17365D" w:themeColor="text2" w:themeShade="BF"/>
        </w:rPr>
      </w:pPr>
    </w:p>
    <w:p w14:paraId="4F892E7C" w14:textId="5FC51D4A" w:rsidR="00E433FA" w:rsidRDefault="00E433FA" w:rsidP="005E6457">
      <w:pPr>
        <w:pStyle w:val="Heading2"/>
        <w:pBdr>
          <w:bottom w:val="single" w:sz="4" w:space="1" w:color="auto"/>
        </w:pBdr>
        <w:spacing w:before="0" w:line="240" w:lineRule="auto"/>
        <w:jc w:val="center"/>
        <w:rPr>
          <w:rFonts w:eastAsia="Batang"/>
          <w:color w:val="17365D" w:themeColor="text2" w:themeShade="BF"/>
          <w:sz w:val="28"/>
        </w:rPr>
      </w:pPr>
      <w:r>
        <w:rPr>
          <w:rFonts w:eastAsia="Batang"/>
          <w:color w:val="17365D" w:themeColor="text2" w:themeShade="BF"/>
          <w:sz w:val="28"/>
        </w:rPr>
        <w:t xml:space="preserve">SPM </w:t>
      </w:r>
      <w:r w:rsidR="005F2C3B">
        <w:rPr>
          <w:rFonts w:eastAsia="Batang"/>
          <w:color w:val="17365D" w:themeColor="text2" w:themeShade="BF"/>
          <w:sz w:val="28"/>
        </w:rPr>
        <w:t>7900</w:t>
      </w:r>
      <w:r>
        <w:rPr>
          <w:rFonts w:eastAsia="Batang"/>
          <w:color w:val="17365D" w:themeColor="text2" w:themeShade="BF"/>
          <w:sz w:val="28"/>
        </w:rPr>
        <w:t>: Readings in Sport Management</w:t>
      </w:r>
    </w:p>
    <w:p w14:paraId="5CC92CAD" w14:textId="49966052" w:rsidR="006437CF" w:rsidRPr="004D0FDE" w:rsidRDefault="0020399C" w:rsidP="005E6457">
      <w:pPr>
        <w:pStyle w:val="Heading2"/>
        <w:pBdr>
          <w:bottom w:val="single" w:sz="4" w:space="1" w:color="auto"/>
        </w:pBdr>
        <w:spacing w:before="0" w:line="240" w:lineRule="auto"/>
        <w:jc w:val="center"/>
        <w:rPr>
          <w:rFonts w:eastAsia="Batang"/>
          <w:color w:val="17365D" w:themeColor="text2" w:themeShade="BF"/>
        </w:rPr>
      </w:pPr>
      <w:r>
        <w:rPr>
          <w:rFonts w:eastAsia="Batang"/>
          <w:color w:val="17365D" w:themeColor="text2" w:themeShade="BF"/>
          <w:sz w:val="28"/>
        </w:rPr>
        <w:t xml:space="preserve">Sport Consumer Behavior </w:t>
      </w:r>
    </w:p>
    <w:p w14:paraId="2CC3DCB0" w14:textId="77777777" w:rsidR="00003B3B" w:rsidRPr="00555890" w:rsidRDefault="006437CF" w:rsidP="0051110F">
      <w:pPr>
        <w:pStyle w:val="Heading2"/>
        <w:rPr>
          <w:rFonts w:eastAsia="Batang"/>
          <w:color w:val="auto"/>
        </w:rPr>
      </w:pPr>
      <w:r w:rsidRPr="00555890">
        <w:rPr>
          <w:rFonts w:eastAsia="Batang"/>
          <w:color w:val="auto"/>
        </w:rPr>
        <w:t xml:space="preserve">Instructor </w:t>
      </w:r>
      <w:r w:rsidR="00A42E3F" w:rsidRPr="00555890">
        <w:rPr>
          <w:rFonts w:eastAsia="Batang"/>
          <w:color w:val="auto"/>
        </w:rPr>
        <w:t xml:space="preserve">contact </w:t>
      </w:r>
      <w:r w:rsidRPr="00555890">
        <w:rPr>
          <w:rFonts w:eastAsia="Batang"/>
          <w:color w:val="auto"/>
        </w:rPr>
        <w:t>information</w:t>
      </w:r>
    </w:p>
    <w:p w14:paraId="70F61EBB" w14:textId="4B581FFD" w:rsidR="00E433FA" w:rsidRDefault="00003B3B"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color w:val="002060"/>
          <w:sz w:val="24"/>
          <w:szCs w:val="20"/>
        </w:rPr>
      </w:pPr>
      <w:r w:rsidRPr="004D0FDE">
        <w:rPr>
          <w:rFonts w:asciiTheme="majorHAnsi" w:eastAsia="Batang" w:hAnsiTheme="majorHAnsi" w:cstheme="minorHAnsi"/>
          <w:b/>
          <w:color w:val="002060"/>
          <w:sz w:val="24"/>
          <w:szCs w:val="20"/>
        </w:rPr>
        <w:t xml:space="preserve">Name: </w:t>
      </w:r>
      <w:r w:rsidR="0020399C">
        <w:rPr>
          <w:rFonts w:asciiTheme="majorHAnsi" w:eastAsia="Batang" w:hAnsiTheme="majorHAnsi" w:cstheme="minorHAnsi"/>
          <w:b/>
          <w:color w:val="002060"/>
          <w:sz w:val="24"/>
          <w:szCs w:val="20"/>
        </w:rPr>
        <w:t>Yonghwan Chang</w:t>
      </w:r>
    </w:p>
    <w:p w14:paraId="2D05E11F" w14:textId="60ACE033" w:rsidR="006437CF" w:rsidRPr="004D0FDE" w:rsidRDefault="005E6457"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bCs/>
          <w:color w:val="002060"/>
          <w:sz w:val="24"/>
          <w:szCs w:val="20"/>
        </w:rPr>
      </w:pPr>
      <w:r w:rsidRPr="004D0FDE">
        <w:rPr>
          <w:rFonts w:asciiTheme="majorHAnsi" w:eastAsia="Batang" w:hAnsiTheme="majorHAnsi" w:cstheme="minorHAnsi"/>
          <w:b/>
          <w:bCs/>
          <w:color w:val="002060"/>
          <w:sz w:val="24"/>
          <w:szCs w:val="20"/>
        </w:rPr>
        <w:t>Office Hours</w:t>
      </w:r>
      <w:r w:rsidR="006437CF" w:rsidRPr="004D0FDE">
        <w:rPr>
          <w:rFonts w:asciiTheme="majorHAnsi" w:eastAsia="Batang" w:hAnsiTheme="majorHAnsi" w:cstheme="minorHAnsi"/>
          <w:b/>
          <w:bCs/>
          <w:color w:val="002060"/>
          <w:sz w:val="24"/>
          <w:szCs w:val="20"/>
        </w:rPr>
        <w:t>:</w:t>
      </w:r>
      <w:r w:rsidR="00365A71" w:rsidRPr="004D0FDE">
        <w:rPr>
          <w:rFonts w:asciiTheme="majorHAnsi" w:eastAsia="Batang" w:hAnsiTheme="majorHAnsi" w:cstheme="minorHAnsi"/>
          <w:bCs/>
          <w:color w:val="002060"/>
          <w:sz w:val="24"/>
          <w:szCs w:val="20"/>
        </w:rPr>
        <w:tab/>
      </w:r>
      <w:r w:rsidR="0020399C">
        <w:rPr>
          <w:rFonts w:asciiTheme="majorHAnsi" w:eastAsia="Batang" w:hAnsiTheme="majorHAnsi" w:cstheme="minorHAnsi"/>
          <w:bCs/>
          <w:color w:val="002060"/>
          <w:sz w:val="24"/>
          <w:szCs w:val="20"/>
        </w:rPr>
        <w:t xml:space="preserve"> </w:t>
      </w:r>
      <w:r w:rsidR="005F2C3B">
        <w:rPr>
          <w:rFonts w:asciiTheme="majorHAnsi" w:eastAsia="Batang" w:hAnsiTheme="majorHAnsi" w:cstheme="minorHAnsi"/>
          <w:bCs/>
          <w:color w:val="002060"/>
          <w:sz w:val="24"/>
          <w:szCs w:val="20"/>
        </w:rPr>
        <w:t xml:space="preserve">FLG 310; M/T 9am-5pm or </w:t>
      </w:r>
      <w:r w:rsidR="0020399C">
        <w:rPr>
          <w:rFonts w:asciiTheme="majorHAnsi" w:eastAsia="Batang" w:hAnsiTheme="majorHAnsi" w:cstheme="minorHAnsi"/>
          <w:bCs/>
          <w:color w:val="002060"/>
          <w:sz w:val="24"/>
          <w:szCs w:val="20"/>
        </w:rPr>
        <w:t>by appointment</w:t>
      </w:r>
    </w:p>
    <w:p w14:paraId="559A3F66" w14:textId="1025C05D" w:rsidR="006437CF" w:rsidRPr="004D0FDE" w:rsidRDefault="00726D8C"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b/>
          <w:bCs/>
          <w:color w:val="002060"/>
          <w:sz w:val="24"/>
          <w:szCs w:val="20"/>
        </w:rPr>
      </w:pPr>
      <w:r w:rsidRPr="004D0FDE">
        <w:rPr>
          <w:rFonts w:asciiTheme="majorHAnsi" w:eastAsia="Batang" w:hAnsiTheme="majorHAnsi" w:cstheme="minorHAnsi"/>
          <w:b/>
          <w:bCs/>
          <w:color w:val="002060"/>
          <w:sz w:val="24"/>
          <w:szCs w:val="20"/>
        </w:rPr>
        <w:t>Email</w:t>
      </w:r>
      <w:r w:rsidR="006437CF" w:rsidRPr="004D0FDE">
        <w:rPr>
          <w:rFonts w:asciiTheme="majorHAnsi" w:eastAsia="Batang" w:hAnsiTheme="majorHAnsi" w:cstheme="minorHAnsi"/>
          <w:b/>
          <w:bCs/>
          <w:color w:val="002060"/>
          <w:sz w:val="24"/>
          <w:szCs w:val="20"/>
        </w:rPr>
        <w:t xml:space="preserve">: </w:t>
      </w:r>
      <w:hyperlink r:id="rId9" w:history="1">
        <w:r w:rsidR="0020399C" w:rsidRPr="00B22C4B">
          <w:rPr>
            <w:rStyle w:val="Hyperlink"/>
            <w:rFonts w:asciiTheme="majorHAnsi" w:eastAsia="Batang" w:hAnsiTheme="majorHAnsi" w:cstheme="minorHAnsi"/>
            <w:b/>
            <w:bCs/>
            <w:sz w:val="24"/>
            <w:szCs w:val="20"/>
          </w:rPr>
          <w:t>yhchang@ufl.edu</w:t>
        </w:r>
      </w:hyperlink>
      <w:r w:rsidR="0020399C">
        <w:rPr>
          <w:rFonts w:asciiTheme="majorHAnsi" w:eastAsia="Batang" w:hAnsiTheme="majorHAnsi" w:cstheme="minorHAnsi"/>
          <w:b/>
          <w:bCs/>
          <w:color w:val="002060"/>
          <w:sz w:val="24"/>
          <w:szCs w:val="20"/>
        </w:rPr>
        <w:t xml:space="preserve"> </w:t>
      </w:r>
    </w:p>
    <w:p w14:paraId="197EFD6E" w14:textId="594E7E53" w:rsidR="00EB6877" w:rsidRPr="00555890" w:rsidRDefault="0020399C" w:rsidP="00EB6877">
      <w:pPr>
        <w:pStyle w:val="Heading2"/>
        <w:rPr>
          <w:rFonts w:eastAsia="Batang"/>
          <w:color w:val="auto"/>
        </w:rPr>
      </w:pPr>
      <w:r w:rsidRPr="00555890">
        <w:rPr>
          <w:rFonts w:eastAsia="Batang"/>
          <w:color w:val="auto"/>
        </w:rPr>
        <w:t>Course description</w:t>
      </w:r>
      <w:r w:rsidR="00EB6877" w:rsidRPr="00555890">
        <w:rPr>
          <w:rFonts w:eastAsia="Batang"/>
          <w:color w:val="auto"/>
        </w:rPr>
        <w:t xml:space="preserve">: </w:t>
      </w:r>
    </w:p>
    <w:p w14:paraId="53B08107" w14:textId="5F1F7946" w:rsidR="0014057E" w:rsidRPr="0020399C" w:rsidRDefault="0020399C" w:rsidP="0020399C">
      <w:pPr>
        <w:overflowPunct w:val="0"/>
        <w:autoSpaceDE w:val="0"/>
        <w:autoSpaceDN w:val="0"/>
        <w:adjustRightInd w:val="0"/>
        <w:spacing w:after="0" w:line="240" w:lineRule="auto"/>
        <w:contextualSpacing/>
        <w:textAlignment w:val="baseline"/>
        <w:rPr>
          <w:rFonts w:asciiTheme="majorHAnsi" w:eastAsia="Batang" w:hAnsiTheme="majorHAnsi" w:cstheme="minorHAnsi"/>
          <w:bCs/>
          <w:color w:val="002060"/>
          <w:sz w:val="24"/>
          <w:szCs w:val="20"/>
        </w:rPr>
      </w:pPr>
      <w:r w:rsidRPr="0020399C">
        <w:rPr>
          <w:rFonts w:asciiTheme="majorHAnsi" w:eastAsia="Batang" w:hAnsiTheme="majorHAnsi" w:cstheme="minorHAnsi"/>
          <w:bCs/>
          <w:color w:val="002060"/>
          <w:sz w:val="24"/>
          <w:szCs w:val="20"/>
        </w:rPr>
        <w:t>This course provides students with an introduction to sport consumer behavior (SCB) theory. This course allows students to gain exposure to a breadth of SCB topics and gain depth in the specific SCB areas of their choice. Students will learn how SCB concepts and principles can be applied to sport management, to our roles as consumers and marketing managers, and to our everyday life.</w:t>
      </w:r>
    </w:p>
    <w:p w14:paraId="3552DA29" w14:textId="77777777" w:rsidR="006437CF" w:rsidRPr="00555890" w:rsidRDefault="006437CF" w:rsidP="0051110F">
      <w:pPr>
        <w:pStyle w:val="Heading2"/>
        <w:rPr>
          <w:rFonts w:eastAsia="Batang"/>
          <w:color w:val="auto"/>
        </w:rPr>
      </w:pPr>
      <w:r w:rsidRPr="00555890">
        <w:rPr>
          <w:rFonts w:eastAsia="Batang"/>
          <w:color w:val="auto"/>
        </w:rPr>
        <w:t xml:space="preserve">Course objectives </w:t>
      </w:r>
    </w:p>
    <w:p w14:paraId="468830F5" w14:textId="47E1C409" w:rsidR="00E433FA" w:rsidRPr="00A07BE7" w:rsidRDefault="00423984" w:rsidP="00A07BE7">
      <w:pPr>
        <w:pStyle w:val="ListParagraph"/>
        <w:numPr>
          <w:ilvl w:val="0"/>
          <w:numId w:val="23"/>
        </w:numPr>
        <w:rPr>
          <w:rFonts w:asciiTheme="majorHAnsi" w:hAnsiTheme="majorHAnsi"/>
        </w:rPr>
      </w:pPr>
      <w:r>
        <w:rPr>
          <w:rFonts w:asciiTheme="majorHAnsi" w:hAnsiTheme="majorHAnsi"/>
        </w:rPr>
        <w:t>Conduct</w:t>
      </w:r>
      <w:r w:rsidR="009A077E">
        <w:rPr>
          <w:rFonts w:asciiTheme="majorHAnsi" w:hAnsiTheme="majorHAnsi"/>
        </w:rPr>
        <w:t xml:space="preserve"> a</w:t>
      </w:r>
      <w:r>
        <w:rPr>
          <w:rFonts w:asciiTheme="majorHAnsi" w:hAnsiTheme="majorHAnsi"/>
        </w:rPr>
        <w:t xml:space="preserve"> critical review of relevant</w:t>
      </w:r>
      <w:r w:rsidR="00E433FA" w:rsidRPr="00A07BE7">
        <w:rPr>
          <w:rFonts w:asciiTheme="majorHAnsi" w:hAnsiTheme="majorHAnsi"/>
        </w:rPr>
        <w:t xml:space="preserve"> literature </w:t>
      </w:r>
      <w:r w:rsidR="002E1430">
        <w:rPr>
          <w:rFonts w:asciiTheme="majorHAnsi" w:hAnsiTheme="majorHAnsi"/>
        </w:rPr>
        <w:t>o</w:t>
      </w:r>
      <w:r w:rsidR="00E433FA" w:rsidRPr="00A07BE7">
        <w:rPr>
          <w:rFonts w:asciiTheme="majorHAnsi" w:hAnsiTheme="majorHAnsi"/>
        </w:rPr>
        <w:t>n the selected topic</w:t>
      </w:r>
      <w:r>
        <w:rPr>
          <w:rFonts w:asciiTheme="majorHAnsi" w:hAnsiTheme="majorHAnsi"/>
        </w:rPr>
        <w:t>al area</w:t>
      </w:r>
    </w:p>
    <w:p w14:paraId="71CB0D94" w14:textId="3B78A3FE" w:rsidR="00E433FA" w:rsidRPr="00A07BE7" w:rsidRDefault="00E433FA" w:rsidP="00A07BE7">
      <w:pPr>
        <w:pStyle w:val="ListParagraph"/>
        <w:numPr>
          <w:ilvl w:val="0"/>
          <w:numId w:val="23"/>
        </w:numPr>
        <w:rPr>
          <w:rFonts w:asciiTheme="majorHAnsi" w:hAnsiTheme="majorHAnsi"/>
        </w:rPr>
      </w:pPr>
      <w:r w:rsidRPr="00A07BE7">
        <w:rPr>
          <w:rFonts w:asciiTheme="majorHAnsi" w:hAnsiTheme="majorHAnsi"/>
        </w:rPr>
        <w:t xml:space="preserve">Identify research gaps </w:t>
      </w:r>
      <w:r w:rsidR="00423984">
        <w:rPr>
          <w:rFonts w:asciiTheme="majorHAnsi" w:hAnsiTheme="majorHAnsi"/>
        </w:rPr>
        <w:t xml:space="preserve">and raise research questions </w:t>
      </w:r>
      <w:r w:rsidRPr="00A07BE7">
        <w:rPr>
          <w:rFonts w:asciiTheme="majorHAnsi" w:hAnsiTheme="majorHAnsi"/>
        </w:rPr>
        <w:t xml:space="preserve">in the selected topic </w:t>
      </w:r>
    </w:p>
    <w:p w14:paraId="15D4DA28" w14:textId="77777777" w:rsidR="00E433FA" w:rsidRPr="00A07BE7" w:rsidRDefault="00E433FA" w:rsidP="00A07BE7">
      <w:pPr>
        <w:pStyle w:val="ListParagraph"/>
        <w:numPr>
          <w:ilvl w:val="0"/>
          <w:numId w:val="23"/>
        </w:numPr>
        <w:rPr>
          <w:rFonts w:asciiTheme="majorHAnsi" w:hAnsiTheme="majorHAnsi"/>
        </w:rPr>
      </w:pPr>
      <w:r w:rsidRPr="00A07BE7">
        <w:rPr>
          <w:rFonts w:asciiTheme="majorHAnsi" w:hAnsiTheme="majorHAnsi"/>
        </w:rPr>
        <w:t xml:space="preserve">Propose a </w:t>
      </w:r>
      <w:r w:rsidR="00A07BE7" w:rsidRPr="00A07BE7">
        <w:rPr>
          <w:rFonts w:asciiTheme="majorHAnsi" w:hAnsiTheme="majorHAnsi"/>
        </w:rPr>
        <w:t xml:space="preserve">research project that contributes new knowledge in the selected topic </w:t>
      </w:r>
      <w:r w:rsidRPr="00A07BE7">
        <w:rPr>
          <w:rFonts w:asciiTheme="majorHAnsi" w:hAnsiTheme="majorHAnsi"/>
        </w:rPr>
        <w:t xml:space="preserve"> </w:t>
      </w:r>
    </w:p>
    <w:p w14:paraId="21C1FFE2" w14:textId="77777777" w:rsidR="003C1FEE" w:rsidRPr="00555890" w:rsidRDefault="003C1FEE" w:rsidP="0051110F">
      <w:pPr>
        <w:pStyle w:val="Heading2"/>
        <w:rPr>
          <w:color w:val="auto"/>
        </w:rPr>
      </w:pPr>
      <w:r w:rsidRPr="00555890">
        <w:rPr>
          <w:color w:val="auto"/>
        </w:rPr>
        <w:t xml:space="preserve">Evaluation </w:t>
      </w:r>
    </w:p>
    <w:tbl>
      <w:tblPr>
        <w:tblStyle w:val="TableGrid"/>
        <w:tblW w:w="0" w:type="auto"/>
        <w:tblLook w:val="04A0" w:firstRow="1" w:lastRow="0" w:firstColumn="1" w:lastColumn="0" w:noHBand="0" w:noVBand="1"/>
      </w:tblPr>
      <w:tblGrid>
        <w:gridCol w:w="7915"/>
        <w:gridCol w:w="1435"/>
      </w:tblGrid>
      <w:tr w:rsidR="00E5443A" w:rsidRPr="00AA7F0B" w14:paraId="49A2CB11" w14:textId="77777777" w:rsidTr="00AA027E">
        <w:tc>
          <w:tcPr>
            <w:tcW w:w="8905" w:type="dxa"/>
          </w:tcPr>
          <w:p w14:paraId="2A82424A" w14:textId="77777777" w:rsidR="00E5443A" w:rsidRPr="00AA7F0B" w:rsidRDefault="00E5443A" w:rsidP="004948AF">
            <w:pPr>
              <w:rPr>
                <w:rFonts w:asciiTheme="majorHAnsi" w:hAnsiTheme="majorHAnsi" w:cstheme="minorHAnsi"/>
                <w:color w:val="002060"/>
              </w:rPr>
            </w:pPr>
          </w:p>
        </w:tc>
        <w:tc>
          <w:tcPr>
            <w:tcW w:w="1463" w:type="dxa"/>
          </w:tcPr>
          <w:p w14:paraId="6235EBC5" w14:textId="77777777" w:rsidR="00E5443A" w:rsidRPr="00AA7F0B" w:rsidRDefault="00E5443A" w:rsidP="004948AF">
            <w:pPr>
              <w:jc w:val="center"/>
              <w:rPr>
                <w:rFonts w:asciiTheme="majorHAnsi" w:hAnsiTheme="majorHAnsi" w:cstheme="minorHAnsi"/>
                <w:b/>
                <w:color w:val="002060"/>
              </w:rPr>
            </w:pPr>
            <w:r w:rsidRPr="00AA7F0B">
              <w:rPr>
                <w:rFonts w:asciiTheme="majorHAnsi" w:hAnsiTheme="majorHAnsi" w:cstheme="minorHAnsi"/>
                <w:b/>
                <w:color w:val="002060"/>
              </w:rPr>
              <w:t>% breakdown</w:t>
            </w:r>
          </w:p>
        </w:tc>
      </w:tr>
      <w:tr w:rsidR="00E5443A" w:rsidRPr="00AA7F0B" w14:paraId="683525E6" w14:textId="77777777" w:rsidTr="00AA027E">
        <w:tc>
          <w:tcPr>
            <w:tcW w:w="8905" w:type="dxa"/>
          </w:tcPr>
          <w:p w14:paraId="0555379A" w14:textId="77777777" w:rsidR="00E5443A" w:rsidRPr="00CB1FBC" w:rsidRDefault="00A07BE7" w:rsidP="00A07BE7">
            <w:pPr>
              <w:rPr>
                <w:rFonts w:asciiTheme="majorHAnsi" w:hAnsiTheme="majorHAnsi" w:cstheme="minorHAnsi"/>
                <w:color w:val="002060"/>
              </w:rPr>
            </w:pPr>
            <w:r>
              <w:rPr>
                <w:rFonts w:asciiTheme="majorHAnsi" w:hAnsiTheme="majorHAnsi" w:cstheme="minorHAnsi"/>
                <w:color w:val="002060"/>
              </w:rPr>
              <w:t xml:space="preserve">Weekly reflections on readings </w:t>
            </w:r>
          </w:p>
        </w:tc>
        <w:tc>
          <w:tcPr>
            <w:tcW w:w="1463" w:type="dxa"/>
          </w:tcPr>
          <w:p w14:paraId="3142BC0E" w14:textId="71879DAB" w:rsidR="00E5443A" w:rsidRPr="00AA7F0B" w:rsidRDefault="00855E52" w:rsidP="004948AF">
            <w:pPr>
              <w:jc w:val="center"/>
              <w:rPr>
                <w:rFonts w:asciiTheme="majorHAnsi" w:hAnsiTheme="majorHAnsi" w:cstheme="minorHAnsi"/>
                <w:b/>
                <w:color w:val="002060"/>
              </w:rPr>
            </w:pPr>
            <w:r>
              <w:rPr>
                <w:rFonts w:asciiTheme="majorHAnsi" w:hAnsiTheme="majorHAnsi" w:cstheme="minorHAnsi"/>
                <w:b/>
                <w:color w:val="002060"/>
              </w:rPr>
              <w:t>3</w:t>
            </w:r>
            <w:r w:rsidR="00A07BE7">
              <w:rPr>
                <w:rFonts w:asciiTheme="majorHAnsi" w:hAnsiTheme="majorHAnsi" w:cstheme="minorHAnsi"/>
                <w:b/>
                <w:color w:val="002060"/>
              </w:rPr>
              <w:t>0</w:t>
            </w:r>
          </w:p>
        </w:tc>
      </w:tr>
      <w:tr w:rsidR="00E5443A" w:rsidRPr="00AA7F0B" w14:paraId="2426FA82" w14:textId="77777777" w:rsidTr="00AA027E">
        <w:tc>
          <w:tcPr>
            <w:tcW w:w="8905" w:type="dxa"/>
          </w:tcPr>
          <w:p w14:paraId="59FBC6F7" w14:textId="77777777" w:rsidR="00E5443A" w:rsidRPr="00A07BE7" w:rsidRDefault="00A07BE7" w:rsidP="00A07BE7">
            <w:pPr>
              <w:rPr>
                <w:rFonts w:asciiTheme="majorHAnsi" w:hAnsiTheme="majorHAnsi" w:cstheme="minorHAnsi"/>
                <w:color w:val="002060"/>
              </w:rPr>
            </w:pPr>
            <w:r>
              <w:rPr>
                <w:rFonts w:asciiTheme="majorHAnsi" w:hAnsiTheme="majorHAnsi" w:cstheme="minorHAnsi"/>
                <w:color w:val="002060"/>
              </w:rPr>
              <w:t xml:space="preserve">Monthly discussions with faculty advisor on weekly reflections </w:t>
            </w:r>
          </w:p>
        </w:tc>
        <w:tc>
          <w:tcPr>
            <w:tcW w:w="1463" w:type="dxa"/>
          </w:tcPr>
          <w:p w14:paraId="2B0CC67A" w14:textId="77777777" w:rsidR="00E5443A" w:rsidRPr="00AA7F0B" w:rsidRDefault="00A07BE7" w:rsidP="004948AF">
            <w:pPr>
              <w:jc w:val="center"/>
              <w:rPr>
                <w:rFonts w:asciiTheme="majorHAnsi" w:hAnsiTheme="majorHAnsi" w:cstheme="minorHAnsi"/>
                <w:b/>
                <w:color w:val="002060"/>
              </w:rPr>
            </w:pPr>
            <w:r>
              <w:rPr>
                <w:rFonts w:asciiTheme="majorHAnsi" w:hAnsiTheme="majorHAnsi" w:cstheme="minorHAnsi"/>
                <w:b/>
                <w:color w:val="002060"/>
              </w:rPr>
              <w:t>10</w:t>
            </w:r>
          </w:p>
        </w:tc>
      </w:tr>
      <w:tr w:rsidR="00E5443A" w:rsidRPr="00AA7F0B" w14:paraId="143509CE" w14:textId="77777777" w:rsidTr="00AA027E">
        <w:tc>
          <w:tcPr>
            <w:tcW w:w="8905" w:type="dxa"/>
          </w:tcPr>
          <w:p w14:paraId="06650BF2" w14:textId="7E3FACDB" w:rsidR="00E5443A" w:rsidRPr="00A07BE7" w:rsidRDefault="00A07BE7" w:rsidP="00A07BE7">
            <w:pPr>
              <w:rPr>
                <w:rFonts w:asciiTheme="majorHAnsi" w:hAnsiTheme="majorHAnsi" w:cstheme="minorHAnsi"/>
                <w:color w:val="002060"/>
              </w:rPr>
            </w:pPr>
            <w:r>
              <w:rPr>
                <w:rFonts w:asciiTheme="majorHAnsi" w:hAnsiTheme="majorHAnsi" w:cstheme="minorHAnsi"/>
                <w:color w:val="002060"/>
              </w:rPr>
              <w:t>Research proposal</w:t>
            </w:r>
            <w:r w:rsidR="000250C6">
              <w:rPr>
                <w:rFonts w:asciiTheme="majorHAnsi" w:hAnsiTheme="majorHAnsi" w:cstheme="minorHAnsi"/>
                <w:color w:val="002060"/>
              </w:rPr>
              <w:t>/Conceptual</w:t>
            </w:r>
            <w:r>
              <w:rPr>
                <w:rFonts w:asciiTheme="majorHAnsi" w:hAnsiTheme="majorHAnsi" w:cstheme="minorHAnsi"/>
                <w:color w:val="002060"/>
              </w:rPr>
              <w:t xml:space="preserve"> paper</w:t>
            </w:r>
          </w:p>
        </w:tc>
        <w:tc>
          <w:tcPr>
            <w:tcW w:w="1463" w:type="dxa"/>
          </w:tcPr>
          <w:p w14:paraId="6D87F7A9" w14:textId="7AB8A2F4" w:rsidR="00E5443A" w:rsidRPr="00AA7F0B" w:rsidRDefault="00855E52" w:rsidP="004948AF">
            <w:pPr>
              <w:jc w:val="center"/>
              <w:rPr>
                <w:rFonts w:asciiTheme="majorHAnsi" w:hAnsiTheme="majorHAnsi" w:cstheme="minorHAnsi"/>
                <w:b/>
                <w:color w:val="002060"/>
              </w:rPr>
            </w:pPr>
            <w:r>
              <w:rPr>
                <w:rFonts w:asciiTheme="majorHAnsi" w:hAnsiTheme="majorHAnsi" w:cstheme="minorHAnsi"/>
                <w:b/>
                <w:color w:val="002060"/>
              </w:rPr>
              <w:t>5</w:t>
            </w:r>
            <w:r w:rsidR="00A07BE7">
              <w:rPr>
                <w:rFonts w:asciiTheme="majorHAnsi" w:hAnsiTheme="majorHAnsi" w:cstheme="minorHAnsi"/>
                <w:b/>
                <w:color w:val="002060"/>
              </w:rPr>
              <w:t>0</w:t>
            </w:r>
          </w:p>
        </w:tc>
      </w:tr>
      <w:tr w:rsidR="00E5443A" w:rsidRPr="00AA7F0B" w14:paraId="7DEB6980" w14:textId="77777777" w:rsidTr="00AA027E">
        <w:tc>
          <w:tcPr>
            <w:tcW w:w="8905" w:type="dxa"/>
          </w:tcPr>
          <w:p w14:paraId="51C5DD9B" w14:textId="011BBE93" w:rsidR="00E5443A" w:rsidRPr="00A07BE7" w:rsidRDefault="00A07BE7" w:rsidP="00A07BE7">
            <w:pPr>
              <w:rPr>
                <w:rFonts w:asciiTheme="majorHAnsi" w:hAnsiTheme="majorHAnsi" w:cstheme="minorHAnsi"/>
                <w:color w:val="002060"/>
              </w:rPr>
            </w:pPr>
            <w:r>
              <w:rPr>
                <w:rFonts w:asciiTheme="majorHAnsi" w:hAnsiTheme="majorHAnsi" w:cstheme="minorHAnsi"/>
                <w:color w:val="002060"/>
              </w:rPr>
              <w:t>Research proposal</w:t>
            </w:r>
            <w:r w:rsidR="000250C6">
              <w:rPr>
                <w:rFonts w:asciiTheme="majorHAnsi" w:hAnsiTheme="majorHAnsi" w:cstheme="minorHAnsi"/>
                <w:color w:val="002060"/>
              </w:rPr>
              <w:t>/Conceptual paper</w:t>
            </w:r>
            <w:r>
              <w:rPr>
                <w:rFonts w:asciiTheme="majorHAnsi" w:hAnsiTheme="majorHAnsi" w:cstheme="minorHAnsi"/>
                <w:color w:val="002060"/>
              </w:rPr>
              <w:t xml:space="preserve"> presentation</w:t>
            </w:r>
          </w:p>
        </w:tc>
        <w:tc>
          <w:tcPr>
            <w:tcW w:w="1463" w:type="dxa"/>
          </w:tcPr>
          <w:p w14:paraId="2ED35EDF" w14:textId="77777777" w:rsidR="00E5443A" w:rsidRPr="00AA7F0B" w:rsidRDefault="00A07BE7" w:rsidP="004948AF">
            <w:pPr>
              <w:jc w:val="center"/>
              <w:rPr>
                <w:rFonts w:asciiTheme="majorHAnsi" w:hAnsiTheme="majorHAnsi" w:cstheme="minorHAnsi"/>
                <w:b/>
                <w:color w:val="002060"/>
              </w:rPr>
            </w:pPr>
            <w:r>
              <w:rPr>
                <w:rFonts w:asciiTheme="majorHAnsi" w:hAnsiTheme="majorHAnsi" w:cstheme="minorHAnsi"/>
                <w:b/>
                <w:color w:val="002060"/>
              </w:rPr>
              <w:t>10</w:t>
            </w:r>
          </w:p>
        </w:tc>
      </w:tr>
      <w:tr w:rsidR="00E5443A" w:rsidRPr="00AA7F0B" w14:paraId="4590FE35" w14:textId="77777777" w:rsidTr="00AA027E">
        <w:tc>
          <w:tcPr>
            <w:tcW w:w="8905" w:type="dxa"/>
          </w:tcPr>
          <w:p w14:paraId="4B3B4132" w14:textId="77777777" w:rsidR="00E5443A" w:rsidRPr="00A07BE7" w:rsidRDefault="00E5443A" w:rsidP="00A07BE7">
            <w:pPr>
              <w:rPr>
                <w:rFonts w:asciiTheme="majorHAnsi" w:hAnsiTheme="majorHAnsi" w:cstheme="minorHAnsi"/>
                <w:color w:val="002060"/>
              </w:rPr>
            </w:pPr>
          </w:p>
        </w:tc>
        <w:tc>
          <w:tcPr>
            <w:tcW w:w="1463" w:type="dxa"/>
          </w:tcPr>
          <w:p w14:paraId="3B40F202" w14:textId="77777777" w:rsidR="00E5443A" w:rsidRPr="00AA7F0B" w:rsidRDefault="00E5443A" w:rsidP="004948AF">
            <w:pPr>
              <w:jc w:val="center"/>
              <w:rPr>
                <w:rFonts w:asciiTheme="majorHAnsi" w:hAnsiTheme="majorHAnsi" w:cstheme="minorHAnsi"/>
                <w:b/>
                <w:color w:val="002060"/>
              </w:rPr>
            </w:pPr>
          </w:p>
        </w:tc>
      </w:tr>
      <w:tr w:rsidR="00E5443A" w:rsidRPr="00AA7F0B" w14:paraId="526E14C1" w14:textId="77777777" w:rsidTr="00AA027E">
        <w:tc>
          <w:tcPr>
            <w:tcW w:w="8905" w:type="dxa"/>
          </w:tcPr>
          <w:p w14:paraId="66751C08" w14:textId="77777777" w:rsidR="00E5443A" w:rsidRPr="00AA7F0B" w:rsidRDefault="00E5443A" w:rsidP="004948AF">
            <w:pPr>
              <w:rPr>
                <w:rFonts w:asciiTheme="majorHAnsi" w:hAnsiTheme="majorHAnsi" w:cstheme="minorHAnsi"/>
                <w:color w:val="002060"/>
              </w:rPr>
            </w:pPr>
            <w:r w:rsidRPr="00AA7F0B">
              <w:rPr>
                <w:rFonts w:asciiTheme="majorHAnsi" w:hAnsiTheme="majorHAnsi" w:cstheme="minorHAnsi"/>
                <w:color w:val="002060"/>
              </w:rPr>
              <w:t>Total</w:t>
            </w:r>
          </w:p>
        </w:tc>
        <w:tc>
          <w:tcPr>
            <w:tcW w:w="1463" w:type="dxa"/>
          </w:tcPr>
          <w:p w14:paraId="35C14483" w14:textId="77777777" w:rsidR="00E5443A" w:rsidRPr="00AA7F0B" w:rsidRDefault="00E5443A" w:rsidP="004948AF">
            <w:pPr>
              <w:jc w:val="center"/>
              <w:rPr>
                <w:rFonts w:asciiTheme="majorHAnsi" w:hAnsiTheme="majorHAnsi" w:cstheme="minorHAnsi"/>
                <w:b/>
                <w:color w:val="002060"/>
              </w:rPr>
            </w:pPr>
            <w:r w:rsidRPr="00AA7F0B">
              <w:rPr>
                <w:rFonts w:asciiTheme="majorHAnsi" w:hAnsiTheme="majorHAnsi" w:cstheme="minorHAnsi"/>
                <w:b/>
                <w:color w:val="002060"/>
              </w:rPr>
              <w:t>100</w:t>
            </w:r>
          </w:p>
        </w:tc>
      </w:tr>
    </w:tbl>
    <w:p w14:paraId="641F0EAC" w14:textId="77777777" w:rsidR="00FC6D9A" w:rsidRPr="00555890" w:rsidRDefault="00FC6D9A" w:rsidP="00FC6D9A">
      <w:pPr>
        <w:pStyle w:val="Heading2"/>
        <w:rPr>
          <w:color w:val="auto"/>
        </w:rPr>
      </w:pPr>
      <w:r w:rsidRPr="00555890">
        <w:rPr>
          <w:color w:val="auto"/>
        </w:rPr>
        <w:t>Readings</w:t>
      </w:r>
      <w:r w:rsidR="00945038" w:rsidRPr="00555890">
        <w:rPr>
          <w:color w:val="auto"/>
        </w:rPr>
        <w:t xml:space="preserve"> </w:t>
      </w:r>
    </w:p>
    <w:p w14:paraId="1682BF2B" w14:textId="77777777" w:rsidR="00A07BE7" w:rsidRPr="00A07BE7" w:rsidRDefault="00A07BE7" w:rsidP="00A07BE7">
      <w:pPr>
        <w:rPr>
          <w:rFonts w:asciiTheme="majorHAnsi" w:hAnsiTheme="majorHAnsi"/>
        </w:rPr>
      </w:pPr>
      <w:r w:rsidRPr="00A07BE7">
        <w:rPr>
          <w:rFonts w:asciiTheme="majorHAnsi" w:hAnsiTheme="majorHAnsi"/>
        </w:rPr>
        <w:t xml:space="preserve">SEE WEEKLY SCHEDULE </w:t>
      </w:r>
    </w:p>
    <w:p w14:paraId="30EC9091" w14:textId="77777777" w:rsidR="0014057E" w:rsidRPr="00555890" w:rsidRDefault="00A07BE7" w:rsidP="0014057E">
      <w:pPr>
        <w:pStyle w:val="Heading2"/>
        <w:rPr>
          <w:rStyle w:val="normalchar"/>
          <w:color w:val="auto"/>
        </w:rPr>
      </w:pPr>
      <w:r w:rsidRPr="00555890">
        <w:rPr>
          <w:rStyle w:val="normalchar"/>
          <w:color w:val="auto"/>
        </w:rPr>
        <w:t xml:space="preserve">Weekly reflections </w:t>
      </w:r>
    </w:p>
    <w:p w14:paraId="7E72CA23" w14:textId="0F5ED28E" w:rsidR="00A07BE7" w:rsidRDefault="00A07BE7" w:rsidP="00A07BE7">
      <w:pPr>
        <w:rPr>
          <w:rFonts w:asciiTheme="majorHAnsi" w:hAnsiTheme="majorHAnsi"/>
        </w:rPr>
      </w:pPr>
      <w:r w:rsidRPr="00A07BE7">
        <w:rPr>
          <w:rFonts w:asciiTheme="majorHAnsi" w:hAnsiTheme="majorHAnsi"/>
        </w:rPr>
        <w:t xml:space="preserve">The student </w:t>
      </w:r>
      <w:proofErr w:type="gramStart"/>
      <w:r w:rsidR="007561D6">
        <w:rPr>
          <w:rFonts w:asciiTheme="majorHAnsi" w:hAnsiTheme="majorHAnsi"/>
        </w:rPr>
        <w:t>will</w:t>
      </w:r>
      <w:r w:rsidRPr="00A07BE7">
        <w:rPr>
          <w:rFonts w:asciiTheme="majorHAnsi" w:hAnsiTheme="majorHAnsi"/>
        </w:rPr>
        <w:t xml:space="preserve"> to</w:t>
      </w:r>
      <w:proofErr w:type="gramEnd"/>
      <w:r w:rsidRPr="00A07BE7">
        <w:rPr>
          <w:rFonts w:asciiTheme="majorHAnsi" w:hAnsiTheme="majorHAnsi"/>
        </w:rPr>
        <w:t xml:space="preserve"> su</w:t>
      </w:r>
      <w:r w:rsidR="00ED6748">
        <w:rPr>
          <w:rFonts w:asciiTheme="majorHAnsi" w:hAnsiTheme="majorHAnsi"/>
        </w:rPr>
        <w:t>bmit to the faculty advisor a 2-</w:t>
      </w:r>
      <w:r w:rsidRPr="00A07BE7">
        <w:rPr>
          <w:rFonts w:asciiTheme="majorHAnsi" w:hAnsiTheme="majorHAnsi"/>
        </w:rPr>
        <w:t xml:space="preserve">page reflection of the key findings </w:t>
      </w:r>
      <w:r w:rsidR="00C677FB">
        <w:rPr>
          <w:rFonts w:asciiTheme="majorHAnsi" w:hAnsiTheme="majorHAnsi"/>
        </w:rPr>
        <w:t xml:space="preserve">in </w:t>
      </w:r>
      <w:r w:rsidRPr="00A07BE7">
        <w:rPr>
          <w:rFonts w:asciiTheme="majorHAnsi" w:hAnsiTheme="majorHAnsi"/>
        </w:rPr>
        <w:t>identified the paper and the new knowledge contributed to the literature through these readings. The student should also identify a potential future research idea. Paper</w:t>
      </w:r>
      <w:r w:rsidR="007561D6">
        <w:rPr>
          <w:rFonts w:asciiTheme="majorHAnsi" w:hAnsiTheme="majorHAnsi"/>
        </w:rPr>
        <w:t xml:space="preserve"> shou</w:t>
      </w:r>
      <w:r w:rsidR="00DF22F2">
        <w:rPr>
          <w:rFonts w:asciiTheme="majorHAnsi" w:hAnsiTheme="majorHAnsi"/>
        </w:rPr>
        <w:t>l</w:t>
      </w:r>
      <w:r w:rsidR="007561D6">
        <w:rPr>
          <w:rFonts w:asciiTheme="majorHAnsi" w:hAnsiTheme="majorHAnsi"/>
        </w:rPr>
        <w:t>d</w:t>
      </w:r>
      <w:r w:rsidRPr="00A07BE7">
        <w:rPr>
          <w:rFonts w:asciiTheme="majorHAnsi" w:hAnsiTheme="majorHAnsi"/>
        </w:rPr>
        <w:t xml:space="preserve"> be </w:t>
      </w:r>
      <w:r w:rsidR="00855E52">
        <w:rPr>
          <w:rFonts w:asciiTheme="majorHAnsi" w:hAnsiTheme="majorHAnsi"/>
        </w:rPr>
        <w:t>double</w:t>
      </w:r>
      <w:r w:rsidR="00855E52" w:rsidRPr="00A07BE7">
        <w:rPr>
          <w:rFonts w:asciiTheme="majorHAnsi" w:hAnsiTheme="majorHAnsi"/>
        </w:rPr>
        <w:t xml:space="preserve"> </w:t>
      </w:r>
      <w:r w:rsidRPr="00A07BE7">
        <w:rPr>
          <w:rFonts w:asciiTheme="majorHAnsi" w:hAnsiTheme="majorHAnsi"/>
        </w:rPr>
        <w:t>spaced using 12 size font</w:t>
      </w:r>
      <w:r w:rsidR="00DF22F2">
        <w:rPr>
          <w:rFonts w:asciiTheme="majorHAnsi" w:hAnsiTheme="majorHAnsi"/>
        </w:rPr>
        <w:t xml:space="preserve">, and follow APA formatting guidelines. </w:t>
      </w:r>
    </w:p>
    <w:p w14:paraId="35407879" w14:textId="77777777" w:rsidR="00DF22F2" w:rsidRDefault="00DF22F2">
      <w:pPr>
        <w:rPr>
          <w:rFonts w:asciiTheme="majorHAnsi" w:eastAsiaTheme="majorEastAsia" w:hAnsiTheme="majorHAnsi" w:cstheme="majorBidi"/>
          <w:b/>
          <w:bCs/>
          <w:color w:val="4F81BD" w:themeColor="accent1"/>
          <w:sz w:val="26"/>
          <w:szCs w:val="26"/>
        </w:rPr>
      </w:pPr>
      <w:r>
        <w:br w:type="page"/>
      </w:r>
    </w:p>
    <w:p w14:paraId="14C19B27" w14:textId="7B3EDA0F" w:rsidR="000266A6" w:rsidRPr="00555890" w:rsidRDefault="000266A6" w:rsidP="000266A6">
      <w:pPr>
        <w:pStyle w:val="Heading2"/>
        <w:rPr>
          <w:color w:val="auto"/>
        </w:rPr>
      </w:pPr>
      <w:r w:rsidRPr="00555890">
        <w:rPr>
          <w:color w:val="auto"/>
        </w:rPr>
        <w:lastRenderedPageBreak/>
        <w:t>Research proposal</w:t>
      </w:r>
      <w:r w:rsidR="007561D6" w:rsidRPr="00555890">
        <w:rPr>
          <w:color w:val="auto"/>
        </w:rPr>
        <w:t>/Conceptual</w:t>
      </w:r>
      <w:r w:rsidRPr="00555890">
        <w:rPr>
          <w:color w:val="auto"/>
        </w:rPr>
        <w:t xml:space="preserve"> paper </w:t>
      </w:r>
    </w:p>
    <w:p w14:paraId="6269D326" w14:textId="26A54F5A" w:rsidR="000266A6" w:rsidRDefault="00ED6748" w:rsidP="00E15633">
      <w:pPr>
        <w:spacing w:after="0" w:line="240" w:lineRule="auto"/>
        <w:rPr>
          <w:rFonts w:asciiTheme="majorHAnsi" w:hAnsiTheme="majorHAnsi"/>
        </w:rPr>
      </w:pPr>
      <w:r>
        <w:rPr>
          <w:rFonts w:asciiTheme="majorHAnsi" w:hAnsiTheme="majorHAnsi"/>
        </w:rPr>
        <w:t>The student will develop a 15-</w:t>
      </w:r>
      <w:r w:rsidR="000266A6" w:rsidRPr="001A6DAA">
        <w:rPr>
          <w:rFonts w:asciiTheme="majorHAnsi" w:hAnsiTheme="majorHAnsi"/>
        </w:rPr>
        <w:t>page paper</w:t>
      </w:r>
      <w:r w:rsidR="00DF22F2">
        <w:rPr>
          <w:rFonts w:asciiTheme="majorHAnsi" w:hAnsiTheme="majorHAnsi"/>
        </w:rPr>
        <w:t xml:space="preserve"> (minimum) using APA formatting, selecting</w:t>
      </w:r>
      <w:r w:rsidR="007561D6">
        <w:rPr>
          <w:rFonts w:asciiTheme="majorHAnsi" w:hAnsiTheme="majorHAnsi"/>
        </w:rPr>
        <w:t xml:space="preserve"> one of the two following options</w:t>
      </w:r>
      <w:r w:rsidR="000266A6" w:rsidRPr="001A6DAA">
        <w:rPr>
          <w:rFonts w:asciiTheme="majorHAnsi" w:hAnsiTheme="majorHAnsi"/>
        </w:rPr>
        <w:t xml:space="preserve">: </w:t>
      </w:r>
    </w:p>
    <w:p w14:paraId="61ABE324" w14:textId="47F3FD56" w:rsidR="00DF22F2" w:rsidRDefault="00DF22F2" w:rsidP="00E15633">
      <w:pPr>
        <w:spacing w:after="0" w:line="240" w:lineRule="auto"/>
        <w:rPr>
          <w:rFonts w:asciiTheme="majorHAnsi" w:hAnsiTheme="majorHAnsi"/>
        </w:rPr>
      </w:pPr>
    </w:p>
    <w:p w14:paraId="16A7A45C" w14:textId="0F87483A" w:rsidR="007561D6" w:rsidRDefault="007561D6" w:rsidP="009A077E">
      <w:pPr>
        <w:pStyle w:val="ListParagraph"/>
        <w:numPr>
          <w:ilvl w:val="0"/>
          <w:numId w:val="24"/>
        </w:numPr>
        <w:spacing w:after="0" w:line="240" w:lineRule="auto"/>
        <w:rPr>
          <w:rFonts w:asciiTheme="majorHAnsi" w:hAnsiTheme="majorHAnsi"/>
          <w:b/>
          <w:u w:val="single"/>
        </w:rPr>
      </w:pPr>
      <w:r w:rsidRPr="009A077E">
        <w:rPr>
          <w:rFonts w:asciiTheme="majorHAnsi" w:hAnsiTheme="majorHAnsi"/>
          <w:b/>
          <w:u w:val="single"/>
        </w:rPr>
        <w:t>Research Proposal</w:t>
      </w:r>
    </w:p>
    <w:p w14:paraId="53EA8773" w14:textId="77777777" w:rsidR="00DF22F2" w:rsidRPr="00E12D27" w:rsidRDefault="00DF22F2" w:rsidP="00E12D27">
      <w:pPr>
        <w:spacing w:after="0" w:line="240" w:lineRule="auto"/>
        <w:ind w:left="360"/>
        <w:rPr>
          <w:rFonts w:asciiTheme="majorHAnsi" w:hAnsiTheme="majorHAnsi"/>
          <w:b/>
          <w:u w:val="single"/>
        </w:rPr>
      </w:pPr>
    </w:p>
    <w:p w14:paraId="10D64A8D" w14:textId="26BEA846" w:rsidR="000266A6" w:rsidRDefault="001A6DAA" w:rsidP="00E15633">
      <w:pPr>
        <w:spacing w:after="0" w:line="240" w:lineRule="auto"/>
        <w:rPr>
          <w:rFonts w:asciiTheme="majorHAnsi" w:hAnsiTheme="majorHAnsi"/>
        </w:rPr>
      </w:pPr>
      <w:r w:rsidRPr="00E15633">
        <w:rPr>
          <w:rFonts w:asciiTheme="majorHAnsi" w:hAnsiTheme="majorHAnsi"/>
          <w:b/>
          <w:i/>
        </w:rPr>
        <w:t>Introduction</w:t>
      </w:r>
      <w:r w:rsidRPr="001A6DAA">
        <w:rPr>
          <w:rFonts w:asciiTheme="majorHAnsi" w:hAnsiTheme="majorHAnsi"/>
        </w:rPr>
        <w:t xml:space="preserve">: </w:t>
      </w:r>
      <w:r>
        <w:rPr>
          <w:rFonts w:asciiTheme="majorHAnsi" w:hAnsiTheme="majorHAnsi"/>
        </w:rPr>
        <w:t>lay out the problem, briefly mention what is lacking in the literature and conclude with the study’</w:t>
      </w:r>
      <w:r w:rsidR="00E15633">
        <w:rPr>
          <w:rFonts w:asciiTheme="majorHAnsi" w:hAnsiTheme="majorHAnsi"/>
        </w:rPr>
        <w:t>s purpose</w:t>
      </w:r>
      <w:r w:rsidR="00C677FB">
        <w:rPr>
          <w:rFonts w:asciiTheme="majorHAnsi" w:hAnsiTheme="majorHAnsi"/>
        </w:rPr>
        <w:t xml:space="preserve"> and research question(s)</w:t>
      </w:r>
      <w:r w:rsidR="00E15633">
        <w:rPr>
          <w:rFonts w:asciiTheme="majorHAnsi" w:hAnsiTheme="majorHAnsi"/>
        </w:rPr>
        <w:t xml:space="preserve">. </w:t>
      </w:r>
    </w:p>
    <w:p w14:paraId="07F6AC5D" w14:textId="353A0E53" w:rsidR="00E15633" w:rsidRDefault="001A6DAA" w:rsidP="00E15633">
      <w:pPr>
        <w:spacing w:after="0" w:line="240" w:lineRule="auto"/>
        <w:rPr>
          <w:rFonts w:asciiTheme="majorHAnsi" w:hAnsiTheme="majorHAnsi"/>
        </w:rPr>
      </w:pPr>
      <w:r w:rsidRPr="00E15633">
        <w:rPr>
          <w:rFonts w:asciiTheme="majorHAnsi" w:hAnsiTheme="majorHAnsi"/>
          <w:b/>
          <w:i/>
        </w:rPr>
        <w:t>Lit</w:t>
      </w:r>
      <w:r w:rsidR="00E15633">
        <w:rPr>
          <w:rFonts w:asciiTheme="majorHAnsi" w:hAnsiTheme="majorHAnsi"/>
          <w:b/>
          <w:i/>
        </w:rPr>
        <w:t>erature</w:t>
      </w:r>
      <w:r w:rsidRPr="00E15633">
        <w:rPr>
          <w:rFonts w:asciiTheme="majorHAnsi" w:hAnsiTheme="majorHAnsi"/>
          <w:b/>
          <w:i/>
        </w:rPr>
        <w:t xml:space="preserve"> review</w:t>
      </w:r>
      <w:r>
        <w:rPr>
          <w:rFonts w:asciiTheme="majorHAnsi" w:hAnsiTheme="majorHAnsi"/>
        </w:rPr>
        <w:t>: discuss the relevant theoretical frameworks that support the research question of the study</w:t>
      </w:r>
      <w:r w:rsidR="00E15633">
        <w:rPr>
          <w:rFonts w:asciiTheme="majorHAnsi" w:hAnsiTheme="majorHAnsi"/>
        </w:rPr>
        <w:t xml:space="preserve">, the relationships among the variables of the study the student proposes to interrelate and conclude with </w:t>
      </w:r>
      <w:r w:rsidR="00C677FB">
        <w:rPr>
          <w:rFonts w:asciiTheme="majorHAnsi" w:hAnsiTheme="majorHAnsi"/>
        </w:rPr>
        <w:t xml:space="preserve">a research framework </w:t>
      </w:r>
      <w:r w:rsidR="00055585">
        <w:rPr>
          <w:rFonts w:asciiTheme="majorHAnsi" w:hAnsiTheme="majorHAnsi"/>
        </w:rPr>
        <w:t xml:space="preserve">(or model) </w:t>
      </w:r>
      <w:r w:rsidR="00C677FB">
        <w:rPr>
          <w:rFonts w:asciiTheme="majorHAnsi" w:hAnsiTheme="majorHAnsi"/>
        </w:rPr>
        <w:t xml:space="preserve">with research </w:t>
      </w:r>
      <w:r>
        <w:rPr>
          <w:rFonts w:asciiTheme="majorHAnsi" w:hAnsiTheme="majorHAnsi"/>
        </w:rPr>
        <w:t>hypotheses</w:t>
      </w:r>
      <w:r w:rsidR="00ED6748">
        <w:rPr>
          <w:rFonts w:asciiTheme="majorHAnsi" w:hAnsiTheme="majorHAnsi"/>
        </w:rPr>
        <w:t xml:space="preserve"> or </w:t>
      </w:r>
      <w:r w:rsidR="00C677FB">
        <w:rPr>
          <w:rFonts w:asciiTheme="majorHAnsi" w:hAnsiTheme="majorHAnsi"/>
        </w:rPr>
        <w:t xml:space="preserve">propositions. </w:t>
      </w:r>
      <w:r>
        <w:rPr>
          <w:rFonts w:asciiTheme="majorHAnsi" w:hAnsiTheme="majorHAnsi"/>
        </w:rPr>
        <w:t xml:space="preserve">. </w:t>
      </w:r>
      <w:r w:rsidR="00E15633">
        <w:rPr>
          <w:rFonts w:asciiTheme="majorHAnsi" w:hAnsiTheme="majorHAnsi"/>
        </w:rPr>
        <w:t xml:space="preserve"> Use subheadings wherever possible for reader clarity. </w:t>
      </w:r>
    </w:p>
    <w:p w14:paraId="1D3F148C" w14:textId="6BEAF736" w:rsidR="00E15633" w:rsidRDefault="00E15633" w:rsidP="00E15633">
      <w:pPr>
        <w:spacing w:after="0" w:line="240" w:lineRule="auto"/>
        <w:rPr>
          <w:rFonts w:asciiTheme="majorHAnsi" w:hAnsiTheme="majorHAnsi"/>
        </w:rPr>
      </w:pPr>
      <w:r w:rsidRPr="00E15633">
        <w:rPr>
          <w:rFonts w:asciiTheme="majorHAnsi" w:hAnsiTheme="majorHAnsi"/>
          <w:b/>
          <w:i/>
        </w:rPr>
        <w:t>Method</w:t>
      </w:r>
      <w:r>
        <w:rPr>
          <w:rFonts w:asciiTheme="majorHAnsi" w:hAnsiTheme="majorHAnsi"/>
          <w:b/>
          <w:i/>
        </w:rPr>
        <w:t>, Analysi</w:t>
      </w:r>
      <w:r w:rsidR="007561D6">
        <w:rPr>
          <w:rFonts w:asciiTheme="majorHAnsi" w:hAnsiTheme="majorHAnsi"/>
          <w:b/>
          <w:i/>
        </w:rPr>
        <w:t xml:space="preserve">s: </w:t>
      </w:r>
      <w:r>
        <w:rPr>
          <w:rFonts w:asciiTheme="majorHAnsi" w:hAnsiTheme="majorHAnsi"/>
        </w:rPr>
        <w:t xml:space="preserve"> Lay out the </w:t>
      </w:r>
      <w:r w:rsidR="00855E52">
        <w:rPr>
          <w:rFonts w:asciiTheme="majorHAnsi" w:hAnsiTheme="majorHAnsi"/>
        </w:rPr>
        <w:t>research design</w:t>
      </w:r>
      <w:r>
        <w:rPr>
          <w:rFonts w:asciiTheme="majorHAnsi" w:hAnsiTheme="majorHAnsi"/>
        </w:rPr>
        <w:t xml:space="preserve"> that can answer the research question</w:t>
      </w:r>
      <w:r w:rsidR="000C1558">
        <w:rPr>
          <w:rFonts w:asciiTheme="majorHAnsi" w:hAnsiTheme="majorHAnsi"/>
        </w:rPr>
        <w:t xml:space="preserve"> and test research </w:t>
      </w:r>
      <w:r>
        <w:rPr>
          <w:rFonts w:asciiTheme="majorHAnsi" w:hAnsiTheme="majorHAnsi"/>
        </w:rPr>
        <w:t xml:space="preserve">hypotheses. Provide measurement details, </w:t>
      </w:r>
      <w:r w:rsidR="000C1558">
        <w:rPr>
          <w:rFonts w:asciiTheme="majorHAnsi" w:hAnsiTheme="majorHAnsi"/>
        </w:rPr>
        <w:t>study population</w:t>
      </w:r>
      <w:r w:rsidR="00BF12DF">
        <w:rPr>
          <w:rFonts w:asciiTheme="majorHAnsi" w:hAnsiTheme="majorHAnsi"/>
        </w:rPr>
        <w:t>/sample</w:t>
      </w:r>
      <w:r w:rsidR="000C1558">
        <w:rPr>
          <w:rFonts w:asciiTheme="majorHAnsi" w:hAnsiTheme="majorHAnsi"/>
        </w:rPr>
        <w:t xml:space="preserve">, </w:t>
      </w:r>
      <w:r>
        <w:rPr>
          <w:rFonts w:asciiTheme="majorHAnsi" w:hAnsiTheme="majorHAnsi"/>
        </w:rPr>
        <w:t>expected analysis details</w:t>
      </w:r>
    </w:p>
    <w:p w14:paraId="18041182" w14:textId="2553FD06" w:rsidR="00E15633" w:rsidRDefault="00ED6748" w:rsidP="00E15633">
      <w:pPr>
        <w:spacing w:after="0" w:line="240" w:lineRule="auto"/>
        <w:rPr>
          <w:rFonts w:asciiTheme="majorHAnsi" w:hAnsiTheme="majorHAnsi"/>
        </w:rPr>
      </w:pPr>
      <w:r>
        <w:rPr>
          <w:rFonts w:asciiTheme="majorHAnsi" w:hAnsiTheme="majorHAnsi"/>
          <w:b/>
          <w:i/>
        </w:rPr>
        <w:t>Potential Contribution</w:t>
      </w:r>
      <w:r w:rsidR="00E15633" w:rsidRPr="00E15633">
        <w:rPr>
          <w:rFonts w:asciiTheme="majorHAnsi" w:hAnsiTheme="majorHAnsi"/>
          <w:b/>
          <w:i/>
        </w:rPr>
        <w:t>:</w:t>
      </w:r>
      <w:r>
        <w:rPr>
          <w:rFonts w:asciiTheme="majorHAnsi" w:hAnsiTheme="majorHAnsi"/>
        </w:rPr>
        <w:t xml:space="preserve"> Describe how this study might contribute to the literature</w:t>
      </w:r>
      <w:r w:rsidR="000C1558">
        <w:rPr>
          <w:rFonts w:asciiTheme="majorHAnsi" w:hAnsiTheme="majorHAnsi"/>
        </w:rPr>
        <w:t xml:space="preserve"> and the specific sport industry segment</w:t>
      </w:r>
      <w:r>
        <w:rPr>
          <w:rFonts w:asciiTheme="majorHAnsi" w:hAnsiTheme="majorHAnsi"/>
        </w:rPr>
        <w:t>, regardless of the results.</w:t>
      </w:r>
    </w:p>
    <w:p w14:paraId="221E8B0D" w14:textId="4B3564B4" w:rsidR="007561D6" w:rsidRDefault="007561D6" w:rsidP="007561D6">
      <w:pPr>
        <w:spacing w:after="0" w:line="240" w:lineRule="auto"/>
        <w:rPr>
          <w:rFonts w:asciiTheme="majorHAnsi" w:hAnsiTheme="majorHAnsi"/>
        </w:rPr>
      </w:pPr>
    </w:p>
    <w:p w14:paraId="5A653A69" w14:textId="5FD54720" w:rsidR="007561D6" w:rsidRDefault="007561D6" w:rsidP="009A077E">
      <w:pPr>
        <w:pStyle w:val="ListParagraph"/>
        <w:numPr>
          <w:ilvl w:val="0"/>
          <w:numId w:val="24"/>
        </w:numPr>
        <w:spacing w:after="0" w:line="240" w:lineRule="auto"/>
        <w:rPr>
          <w:rFonts w:asciiTheme="majorHAnsi" w:hAnsiTheme="majorHAnsi"/>
          <w:b/>
          <w:u w:val="single"/>
        </w:rPr>
      </w:pPr>
      <w:r w:rsidRPr="009A077E">
        <w:rPr>
          <w:rFonts w:asciiTheme="majorHAnsi" w:hAnsiTheme="majorHAnsi"/>
          <w:b/>
          <w:u w:val="single"/>
        </w:rPr>
        <w:t>Conceptual Paper</w:t>
      </w:r>
    </w:p>
    <w:p w14:paraId="14167AE2" w14:textId="77777777" w:rsidR="00DF22F2" w:rsidRPr="009A077E" w:rsidRDefault="00DF22F2" w:rsidP="00E12D27">
      <w:pPr>
        <w:pStyle w:val="ListParagraph"/>
        <w:spacing w:after="0" w:line="240" w:lineRule="auto"/>
        <w:rPr>
          <w:rFonts w:asciiTheme="majorHAnsi" w:hAnsiTheme="majorHAnsi"/>
          <w:b/>
          <w:u w:val="single"/>
        </w:rPr>
      </w:pPr>
    </w:p>
    <w:p w14:paraId="1BC73AD8" w14:textId="1135BD55" w:rsidR="007561D6" w:rsidRPr="009A077E" w:rsidRDefault="007561D6" w:rsidP="009A077E">
      <w:pPr>
        <w:spacing w:after="0" w:line="240" w:lineRule="auto"/>
        <w:rPr>
          <w:rFonts w:asciiTheme="majorHAnsi" w:hAnsiTheme="majorHAnsi"/>
        </w:rPr>
      </w:pPr>
      <w:r w:rsidRPr="009A077E">
        <w:rPr>
          <w:rFonts w:asciiTheme="majorHAnsi" w:hAnsiTheme="majorHAnsi"/>
          <w:b/>
          <w:i/>
        </w:rPr>
        <w:t>Introduction</w:t>
      </w:r>
      <w:r w:rsidRPr="009A077E">
        <w:rPr>
          <w:rFonts w:asciiTheme="majorHAnsi" w:hAnsiTheme="majorHAnsi"/>
        </w:rPr>
        <w:t xml:space="preserve">: lay out the problem, briefly mention what is lacking in the literature and conclude with the </w:t>
      </w:r>
      <w:r w:rsidR="00F10C1B">
        <w:rPr>
          <w:rFonts w:asciiTheme="majorHAnsi" w:hAnsiTheme="majorHAnsi"/>
        </w:rPr>
        <w:t xml:space="preserve">paper’s </w:t>
      </w:r>
      <w:r w:rsidRPr="009A077E">
        <w:rPr>
          <w:rFonts w:asciiTheme="majorHAnsi" w:hAnsiTheme="majorHAnsi"/>
        </w:rPr>
        <w:t>purpose</w:t>
      </w:r>
      <w:r w:rsidR="00F10C1B" w:rsidRPr="00F10C1B">
        <w:rPr>
          <w:rFonts w:asciiTheme="majorHAnsi" w:hAnsiTheme="majorHAnsi"/>
        </w:rPr>
        <w:t>.</w:t>
      </w:r>
      <w:r w:rsidR="00F10C1B">
        <w:rPr>
          <w:rFonts w:asciiTheme="majorHAnsi" w:hAnsiTheme="majorHAnsi"/>
        </w:rPr>
        <w:t xml:space="preserve"> Highlights the </w:t>
      </w:r>
      <w:r w:rsidR="00F10C1B" w:rsidRPr="00F10C1B">
        <w:rPr>
          <w:rFonts w:asciiTheme="majorHAnsi" w:hAnsiTheme="majorHAnsi"/>
        </w:rPr>
        <w:t>tensions, inconsistencies, and contradictions surrounding an issue</w:t>
      </w:r>
      <w:r w:rsidR="00F10C1B">
        <w:rPr>
          <w:rFonts w:asciiTheme="majorHAnsi" w:hAnsiTheme="majorHAnsi"/>
        </w:rPr>
        <w:t>.</w:t>
      </w:r>
    </w:p>
    <w:p w14:paraId="45293C12" w14:textId="79F0FB4C" w:rsidR="007561D6" w:rsidRDefault="007561D6" w:rsidP="009A077E">
      <w:pPr>
        <w:spacing w:after="0" w:line="240" w:lineRule="auto"/>
        <w:rPr>
          <w:rFonts w:asciiTheme="majorHAnsi" w:hAnsiTheme="majorHAnsi"/>
        </w:rPr>
      </w:pPr>
      <w:r w:rsidRPr="009A077E">
        <w:rPr>
          <w:rFonts w:asciiTheme="majorHAnsi" w:hAnsiTheme="majorHAnsi"/>
          <w:b/>
          <w:i/>
        </w:rPr>
        <w:t>Literature review</w:t>
      </w:r>
      <w:r w:rsidRPr="007561D6">
        <w:rPr>
          <w:rFonts w:asciiTheme="majorHAnsi" w:hAnsiTheme="majorHAnsi"/>
        </w:rPr>
        <w:t>: D</w:t>
      </w:r>
      <w:r w:rsidRPr="009A077E">
        <w:rPr>
          <w:rFonts w:asciiTheme="majorHAnsi" w:hAnsiTheme="majorHAnsi"/>
        </w:rPr>
        <w:t xml:space="preserve">iscuss the relevant </w:t>
      </w:r>
      <w:r>
        <w:rPr>
          <w:rFonts w:asciiTheme="majorHAnsi" w:hAnsiTheme="majorHAnsi"/>
        </w:rPr>
        <w:t>literature in which the theoretical and/or con</w:t>
      </w:r>
      <w:r w:rsidR="007C5C49">
        <w:rPr>
          <w:rFonts w:asciiTheme="majorHAnsi" w:hAnsiTheme="majorHAnsi"/>
        </w:rPr>
        <w:t>ceptual framework</w:t>
      </w:r>
      <w:r w:rsidR="00F10C1B">
        <w:rPr>
          <w:rFonts w:asciiTheme="majorHAnsi" w:hAnsiTheme="majorHAnsi"/>
        </w:rPr>
        <w:t>s are situated.</w:t>
      </w:r>
    </w:p>
    <w:p w14:paraId="5627AD1B" w14:textId="40D681F3" w:rsidR="007561D6" w:rsidRPr="009A077E" w:rsidRDefault="007C5C49" w:rsidP="009A077E">
      <w:pPr>
        <w:spacing w:after="0" w:line="240" w:lineRule="auto"/>
        <w:rPr>
          <w:rFonts w:asciiTheme="majorHAnsi" w:hAnsiTheme="majorHAnsi"/>
        </w:rPr>
      </w:pPr>
      <w:r>
        <w:rPr>
          <w:rFonts w:asciiTheme="majorHAnsi" w:hAnsiTheme="majorHAnsi"/>
          <w:b/>
          <w:i/>
        </w:rPr>
        <w:t>Framework/</w:t>
      </w:r>
      <w:r w:rsidR="007561D6">
        <w:rPr>
          <w:rFonts w:asciiTheme="majorHAnsi" w:hAnsiTheme="majorHAnsi"/>
          <w:b/>
          <w:i/>
        </w:rPr>
        <w:t>Propositions</w:t>
      </w:r>
      <w:r w:rsidR="007561D6">
        <w:rPr>
          <w:rFonts w:asciiTheme="majorHAnsi" w:hAnsiTheme="majorHAnsi"/>
          <w:b/>
        </w:rPr>
        <w:t xml:space="preserve">: </w:t>
      </w:r>
      <w:r>
        <w:rPr>
          <w:rFonts w:asciiTheme="majorHAnsi" w:hAnsiTheme="majorHAnsi"/>
        </w:rPr>
        <w:t>Highlights the relevant literature that forms your argument, creating propositions t</w:t>
      </w:r>
      <w:r w:rsidR="00F10C1B">
        <w:rPr>
          <w:rFonts w:asciiTheme="majorHAnsi" w:hAnsiTheme="majorHAnsi"/>
        </w:rPr>
        <w:t xml:space="preserve">hat extends a theoretical space and provides bridges across constructs. </w:t>
      </w:r>
    </w:p>
    <w:p w14:paraId="281F07E0" w14:textId="478CCFBA" w:rsidR="007561D6" w:rsidRPr="009A077E" w:rsidRDefault="007561D6" w:rsidP="009A077E">
      <w:pPr>
        <w:spacing w:after="0" w:line="240" w:lineRule="auto"/>
        <w:rPr>
          <w:rFonts w:asciiTheme="majorHAnsi" w:hAnsiTheme="majorHAnsi"/>
        </w:rPr>
      </w:pPr>
      <w:r>
        <w:rPr>
          <w:rFonts w:asciiTheme="majorHAnsi" w:hAnsiTheme="majorHAnsi"/>
          <w:b/>
          <w:i/>
        </w:rPr>
        <w:t xml:space="preserve">Discussion and </w:t>
      </w:r>
      <w:r w:rsidR="007C5C49">
        <w:rPr>
          <w:rFonts w:asciiTheme="majorHAnsi" w:hAnsiTheme="majorHAnsi"/>
          <w:b/>
          <w:i/>
        </w:rPr>
        <w:t xml:space="preserve">Implications: </w:t>
      </w:r>
      <w:r w:rsidR="007C5C49">
        <w:rPr>
          <w:rFonts w:asciiTheme="majorHAnsi" w:hAnsiTheme="majorHAnsi"/>
        </w:rPr>
        <w:t xml:space="preserve">Summarizes the contribution of your propositions, and provides the theoretical, practical, and research implications for them. </w:t>
      </w:r>
    </w:p>
    <w:p w14:paraId="2590F6D2" w14:textId="77777777" w:rsidR="007561D6" w:rsidRPr="009A077E" w:rsidRDefault="007561D6" w:rsidP="007561D6">
      <w:pPr>
        <w:spacing w:after="0" w:line="240" w:lineRule="auto"/>
        <w:rPr>
          <w:rFonts w:asciiTheme="majorHAnsi" w:hAnsiTheme="majorHAnsi"/>
        </w:rPr>
      </w:pPr>
    </w:p>
    <w:p w14:paraId="6F20691D" w14:textId="301AB79F" w:rsidR="00E15633" w:rsidRPr="00555890" w:rsidRDefault="00E15633" w:rsidP="00E15633">
      <w:pPr>
        <w:pStyle w:val="Heading2"/>
        <w:rPr>
          <w:color w:val="auto"/>
        </w:rPr>
      </w:pPr>
      <w:r w:rsidRPr="00555890">
        <w:rPr>
          <w:color w:val="auto"/>
        </w:rPr>
        <w:t xml:space="preserve">Research </w:t>
      </w:r>
      <w:r w:rsidR="007561D6" w:rsidRPr="00555890">
        <w:rPr>
          <w:color w:val="auto"/>
        </w:rPr>
        <w:t>P</w:t>
      </w:r>
      <w:r w:rsidRPr="00555890">
        <w:rPr>
          <w:color w:val="auto"/>
        </w:rPr>
        <w:t>roposal</w:t>
      </w:r>
      <w:r w:rsidR="007561D6" w:rsidRPr="00555890">
        <w:rPr>
          <w:color w:val="auto"/>
        </w:rPr>
        <w:t>/Conceptual Paper</w:t>
      </w:r>
      <w:r w:rsidRPr="00555890">
        <w:rPr>
          <w:color w:val="auto"/>
        </w:rPr>
        <w:t xml:space="preserve"> presentation </w:t>
      </w:r>
    </w:p>
    <w:p w14:paraId="496D62EA" w14:textId="2947B019" w:rsidR="001A6DAA" w:rsidRDefault="00E15633" w:rsidP="00ED6748">
      <w:pPr>
        <w:spacing w:line="240" w:lineRule="auto"/>
        <w:rPr>
          <w:rFonts w:asciiTheme="majorHAnsi" w:hAnsiTheme="majorHAnsi"/>
        </w:rPr>
      </w:pPr>
      <w:r>
        <w:rPr>
          <w:rFonts w:asciiTheme="majorHAnsi" w:hAnsiTheme="majorHAnsi"/>
        </w:rPr>
        <w:t>Develop a power point presentation that addresses the key sections of your paper. The presentation should not last more than 2</w:t>
      </w:r>
      <w:r w:rsidR="00423984">
        <w:rPr>
          <w:rFonts w:asciiTheme="majorHAnsi" w:hAnsiTheme="majorHAnsi"/>
        </w:rPr>
        <w:t>0</w:t>
      </w:r>
      <w:r>
        <w:rPr>
          <w:rFonts w:asciiTheme="majorHAnsi" w:hAnsiTheme="majorHAnsi"/>
        </w:rPr>
        <w:t xml:space="preserve"> min in duration. </w:t>
      </w:r>
    </w:p>
    <w:p w14:paraId="04787BB6" w14:textId="77777777" w:rsidR="0051110F" w:rsidRPr="00555890" w:rsidRDefault="0048367A" w:rsidP="007B6CEC">
      <w:pPr>
        <w:pStyle w:val="Heading2"/>
        <w:rPr>
          <w:color w:val="auto"/>
        </w:rPr>
      </w:pPr>
      <w:r w:rsidRPr="00555890">
        <w:rPr>
          <w:color w:val="auto"/>
        </w:rPr>
        <w:t xml:space="preserve">Grading Scale </w:t>
      </w:r>
    </w:p>
    <w:p w14:paraId="1D2E9A49" w14:textId="77777777" w:rsidR="0048367A" w:rsidRPr="00ED6748" w:rsidRDefault="0048367A" w:rsidP="009273DA">
      <w:pPr>
        <w:spacing w:line="240" w:lineRule="auto"/>
        <w:rPr>
          <w:rFonts w:asciiTheme="majorHAnsi" w:hAnsiTheme="majorHAnsi" w:cstheme="minorHAnsi"/>
          <w:b/>
          <w:bCs/>
          <w:u w:val="single"/>
        </w:rPr>
      </w:pPr>
      <w:r w:rsidRPr="00ED6748">
        <w:rPr>
          <w:rFonts w:asciiTheme="majorHAnsi" w:hAnsiTheme="majorHAnsi" w:cstheme="minorHAnsi"/>
          <w:bCs/>
        </w:rPr>
        <w:t>(</w:t>
      </w:r>
      <w:r w:rsidR="00E5443A" w:rsidRPr="00ED6748">
        <w:rPr>
          <w:rFonts w:asciiTheme="majorHAnsi" w:hAnsiTheme="majorHAnsi" w:cstheme="minorHAnsi"/>
          <w:bCs/>
        </w:rPr>
        <w:t>There</w:t>
      </w:r>
      <w:r w:rsidRPr="00ED6748">
        <w:rPr>
          <w:rFonts w:asciiTheme="majorHAnsi" w:hAnsiTheme="majorHAnsi" w:cstheme="minorHAnsi"/>
          <w:bCs/>
        </w:rPr>
        <w:t xml:space="preserve"> will be no rounding of the grades, no exceptions).</w:t>
      </w:r>
      <w:r w:rsidR="00E5443A" w:rsidRPr="00ED6748">
        <w:rPr>
          <w:rFonts w:asciiTheme="majorHAnsi" w:hAnsiTheme="majorHAnsi" w:cstheme="minorHAnsi"/>
          <w:bCs/>
        </w:rPr>
        <w:t xml:space="preserve"> </w:t>
      </w:r>
      <w:r w:rsidRPr="00ED6748">
        <w:rPr>
          <w:rFonts w:asciiTheme="majorHAnsi" w:hAnsiTheme="majorHAnsi" w:cstheme="minorHAnsi"/>
          <w:bCs/>
        </w:rPr>
        <w:t>The final grade will be assigned according to the following</w:t>
      </w:r>
      <w:r w:rsidR="00E5443A" w:rsidRPr="00ED6748">
        <w:rPr>
          <w:rFonts w:asciiTheme="majorHAnsi" w:hAnsiTheme="majorHAnsi" w:cstheme="minorHAnsi"/>
          <w:bCs/>
        </w:rPr>
        <w:t xml:space="preserve"> grading scale</w:t>
      </w:r>
      <w:r w:rsidRPr="00ED6748">
        <w:rPr>
          <w:rFonts w:asciiTheme="majorHAnsi" w:hAnsiTheme="majorHAnsi" w:cstheme="minorHAnsi"/>
          <w:bCs/>
        </w:rPr>
        <w:t xml:space="preserve">: </w:t>
      </w:r>
    </w:p>
    <w:tbl>
      <w:tblPr>
        <w:tblW w:w="0" w:type="auto"/>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1620"/>
        <w:gridCol w:w="720"/>
        <w:gridCol w:w="1440"/>
      </w:tblGrid>
      <w:tr w:rsidR="00436670" w:rsidRPr="004D0FDE" w14:paraId="5061BE98" w14:textId="77777777" w:rsidTr="00501FE4">
        <w:trPr>
          <w:trHeight w:val="199"/>
        </w:trPr>
        <w:tc>
          <w:tcPr>
            <w:tcW w:w="468" w:type="dxa"/>
          </w:tcPr>
          <w:p w14:paraId="1FE1999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A</w:t>
            </w:r>
          </w:p>
        </w:tc>
        <w:tc>
          <w:tcPr>
            <w:tcW w:w="1620" w:type="dxa"/>
            <w:tcBorders>
              <w:right w:val="single" w:sz="4" w:space="0" w:color="auto"/>
            </w:tcBorders>
          </w:tcPr>
          <w:p w14:paraId="2CCE231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xml:space="preserve">= 100-93 </w:t>
            </w:r>
          </w:p>
        </w:tc>
        <w:tc>
          <w:tcPr>
            <w:tcW w:w="720" w:type="dxa"/>
            <w:tcBorders>
              <w:top w:val="single" w:sz="4" w:space="0" w:color="auto"/>
              <w:left w:val="single" w:sz="4" w:space="0" w:color="auto"/>
              <w:bottom w:val="nil"/>
              <w:right w:val="nil"/>
            </w:tcBorders>
          </w:tcPr>
          <w:p w14:paraId="7B256FD6"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C(S)</w:t>
            </w:r>
          </w:p>
        </w:tc>
        <w:tc>
          <w:tcPr>
            <w:tcW w:w="1440" w:type="dxa"/>
            <w:tcBorders>
              <w:top w:val="single" w:sz="4" w:space="0" w:color="auto"/>
              <w:left w:val="nil"/>
              <w:bottom w:val="nil"/>
              <w:right w:val="single" w:sz="4" w:space="0" w:color="auto"/>
            </w:tcBorders>
          </w:tcPr>
          <w:p w14:paraId="66406B50"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-73 </w:t>
            </w:r>
          </w:p>
        </w:tc>
      </w:tr>
      <w:tr w:rsidR="00436670" w:rsidRPr="004D0FDE" w14:paraId="21BF5116" w14:textId="77777777" w:rsidTr="00501FE4">
        <w:trPr>
          <w:trHeight w:val="199"/>
        </w:trPr>
        <w:tc>
          <w:tcPr>
            <w:tcW w:w="468" w:type="dxa"/>
          </w:tcPr>
          <w:p w14:paraId="50D9A196"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A-</w:t>
            </w:r>
          </w:p>
        </w:tc>
        <w:tc>
          <w:tcPr>
            <w:tcW w:w="1620" w:type="dxa"/>
            <w:tcBorders>
              <w:right w:val="single" w:sz="4" w:space="0" w:color="auto"/>
            </w:tcBorders>
          </w:tcPr>
          <w:p w14:paraId="4818E590"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92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-90</w:t>
            </w:r>
          </w:p>
        </w:tc>
        <w:tc>
          <w:tcPr>
            <w:tcW w:w="720" w:type="dxa"/>
            <w:tcBorders>
              <w:top w:val="nil"/>
              <w:left w:val="single" w:sz="4" w:space="0" w:color="auto"/>
              <w:bottom w:val="nil"/>
              <w:right w:val="nil"/>
            </w:tcBorders>
          </w:tcPr>
          <w:p w14:paraId="7E2B98A1"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C-(U)</w:t>
            </w:r>
          </w:p>
        </w:tc>
        <w:tc>
          <w:tcPr>
            <w:tcW w:w="1440" w:type="dxa"/>
            <w:tcBorders>
              <w:top w:val="nil"/>
              <w:left w:val="nil"/>
              <w:bottom w:val="nil"/>
              <w:right w:val="single" w:sz="4" w:space="0" w:color="auto"/>
            </w:tcBorders>
          </w:tcPr>
          <w:p w14:paraId="698B5817"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-70 </w:t>
            </w:r>
          </w:p>
        </w:tc>
      </w:tr>
      <w:tr w:rsidR="00436670" w:rsidRPr="004D0FDE" w14:paraId="4233C334" w14:textId="77777777" w:rsidTr="00501FE4">
        <w:trPr>
          <w:trHeight w:val="199"/>
        </w:trPr>
        <w:tc>
          <w:tcPr>
            <w:tcW w:w="468" w:type="dxa"/>
          </w:tcPr>
          <w:p w14:paraId="43966D9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B+</w:t>
            </w:r>
          </w:p>
        </w:tc>
        <w:tc>
          <w:tcPr>
            <w:tcW w:w="1620" w:type="dxa"/>
            <w:tcBorders>
              <w:right w:val="single" w:sz="4" w:space="0" w:color="auto"/>
            </w:tcBorders>
          </w:tcPr>
          <w:p w14:paraId="7CF72753"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-87 </w:t>
            </w:r>
          </w:p>
        </w:tc>
        <w:tc>
          <w:tcPr>
            <w:tcW w:w="720" w:type="dxa"/>
            <w:tcBorders>
              <w:top w:val="nil"/>
              <w:left w:val="single" w:sz="4" w:space="0" w:color="auto"/>
              <w:bottom w:val="nil"/>
              <w:right w:val="nil"/>
            </w:tcBorders>
          </w:tcPr>
          <w:p w14:paraId="30AC837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653BCCFC"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-67 </w:t>
            </w:r>
          </w:p>
        </w:tc>
      </w:tr>
      <w:tr w:rsidR="00436670" w:rsidRPr="004D0FDE" w14:paraId="54018666" w14:textId="77777777" w:rsidTr="00501FE4">
        <w:trPr>
          <w:trHeight w:val="199"/>
        </w:trPr>
        <w:tc>
          <w:tcPr>
            <w:tcW w:w="468" w:type="dxa"/>
          </w:tcPr>
          <w:p w14:paraId="56D46BB2"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B</w:t>
            </w:r>
          </w:p>
        </w:tc>
        <w:tc>
          <w:tcPr>
            <w:tcW w:w="1620" w:type="dxa"/>
            <w:tcBorders>
              <w:right w:val="single" w:sz="4" w:space="0" w:color="auto"/>
            </w:tcBorders>
          </w:tcPr>
          <w:p w14:paraId="2E34624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-83 </w:t>
            </w:r>
          </w:p>
        </w:tc>
        <w:tc>
          <w:tcPr>
            <w:tcW w:w="720" w:type="dxa"/>
            <w:tcBorders>
              <w:top w:val="nil"/>
              <w:left w:val="single" w:sz="4" w:space="0" w:color="auto"/>
              <w:bottom w:val="nil"/>
              <w:right w:val="nil"/>
            </w:tcBorders>
          </w:tcPr>
          <w:p w14:paraId="2AAB3D19"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0653B2DD"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-63 </w:t>
            </w:r>
          </w:p>
        </w:tc>
      </w:tr>
      <w:tr w:rsidR="00436670" w:rsidRPr="004D0FDE" w14:paraId="03E1D940" w14:textId="77777777" w:rsidTr="00501FE4">
        <w:trPr>
          <w:trHeight w:val="199"/>
        </w:trPr>
        <w:tc>
          <w:tcPr>
            <w:tcW w:w="468" w:type="dxa"/>
          </w:tcPr>
          <w:p w14:paraId="598DE725"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xml:space="preserve">B- </w:t>
            </w:r>
          </w:p>
        </w:tc>
        <w:tc>
          <w:tcPr>
            <w:tcW w:w="1620" w:type="dxa"/>
            <w:tcBorders>
              <w:right w:val="single" w:sz="4" w:space="0" w:color="auto"/>
            </w:tcBorders>
          </w:tcPr>
          <w:p w14:paraId="33E96C7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-80 </w:t>
            </w:r>
          </w:p>
        </w:tc>
        <w:tc>
          <w:tcPr>
            <w:tcW w:w="720" w:type="dxa"/>
            <w:tcBorders>
              <w:top w:val="nil"/>
              <w:left w:val="single" w:sz="4" w:space="0" w:color="auto"/>
              <w:bottom w:val="nil"/>
              <w:right w:val="nil"/>
            </w:tcBorders>
          </w:tcPr>
          <w:p w14:paraId="1CF27B3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1D6D444C"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-60 </w:t>
            </w:r>
          </w:p>
        </w:tc>
      </w:tr>
      <w:tr w:rsidR="00436670" w:rsidRPr="004D0FDE" w14:paraId="58FF658F" w14:textId="77777777" w:rsidTr="00501FE4">
        <w:trPr>
          <w:trHeight w:val="199"/>
        </w:trPr>
        <w:tc>
          <w:tcPr>
            <w:tcW w:w="468" w:type="dxa"/>
          </w:tcPr>
          <w:p w14:paraId="0A58243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w:t>
            </w:r>
          </w:p>
        </w:tc>
        <w:tc>
          <w:tcPr>
            <w:tcW w:w="1620" w:type="dxa"/>
            <w:tcBorders>
              <w:right w:val="single" w:sz="4" w:space="0" w:color="auto"/>
            </w:tcBorders>
          </w:tcPr>
          <w:p w14:paraId="72726C7B"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-77 </w:t>
            </w:r>
          </w:p>
        </w:tc>
        <w:tc>
          <w:tcPr>
            <w:tcW w:w="720" w:type="dxa"/>
            <w:tcBorders>
              <w:top w:val="nil"/>
              <w:left w:val="single" w:sz="4" w:space="0" w:color="auto"/>
              <w:bottom w:val="single" w:sz="4" w:space="0" w:color="auto"/>
              <w:right w:val="nil"/>
            </w:tcBorders>
          </w:tcPr>
          <w:p w14:paraId="2AB8995B"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E</w:t>
            </w:r>
          </w:p>
        </w:tc>
        <w:tc>
          <w:tcPr>
            <w:tcW w:w="1440" w:type="dxa"/>
            <w:tcBorders>
              <w:top w:val="nil"/>
              <w:left w:val="nil"/>
              <w:bottom w:val="single" w:sz="4" w:space="0" w:color="auto"/>
              <w:right w:val="single" w:sz="4" w:space="0" w:color="auto"/>
            </w:tcBorders>
          </w:tcPr>
          <w:p w14:paraId="06DFF67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59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-0 </w:t>
            </w:r>
          </w:p>
        </w:tc>
      </w:tr>
    </w:tbl>
    <w:p w14:paraId="0028F927" w14:textId="77777777" w:rsidR="00E12D27" w:rsidRDefault="00E12D27" w:rsidP="007B6CEC">
      <w:pPr>
        <w:pStyle w:val="Heading2"/>
      </w:pPr>
    </w:p>
    <w:p w14:paraId="57F4D214" w14:textId="77777777" w:rsidR="00E12D27" w:rsidRDefault="00E12D27">
      <w:pPr>
        <w:rPr>
          <w:rFonts w:asciiTheme="majorHAnsi" w:eastAsiaTheme="majorEastAsia" w:hAnsiTheme="majorHAnsi" w:cstheme="majorBidi"/>
          <w:b/>
          <w:bCs/>
          <w:color w:val="4F81BD" w:themeColor="accent1"/>
          <w:sz w:val="26"/>
          <w:szCs w:val="26"/>
        </w:rPr>
      </w:pPr>
      <w:r>
        <w:br w:type="page"/>
      </w:r>
    </w:p>
    <w:p w14:paraId="58E8047A" w14:textId="11ECFF79" w:rsidR="00D0102F" w:rsidRPr="00555890" w:rsidRDefault="0048367A" w:rsidP="007B6CEC">
      <w:pPr>
        <w:pStyle w:val="Heading2"/>
        <w:rPr>
          <w:i/>
          <w:color w:val="auto"/>
          <w:sz w:val="18"/>
          <w:szCs w:val="18"/>
        </w:rPr>
      </w:pPr>
      <w:r w:rsidRPr="00555890">
        <w:rPr>
          <w:color w:val="auto"/>
        </w:rPr>
        <w:lastRenderedPageBreak/>
        <w:t>C</w:t>
      </w:r>
      <w:r w:rsidR="009B13CA" w:rsidRPr="00555890">
        <w:rPr>
          <w:color w:val="auto"/>
        </w:rPr>
        <w:t>ourse</w:t>
      </w:r>
      <w:r w:rsidRPr="00555890">
        <w:rPr>
          <w:color w:val="auto"/>
        </w:rPr>
        <w:t xml:space="preserve"> schedule</w:t>
      </w:r>
      <w:r w:rsidRPr="00555890">
        <w:rPr>
          <w:color w:val="auto"/>
          <w:u w:val="single"/>
        </w:rPr>
        <w:t xml:space="preserve"> </w:t>
      </w:r>
    </w:p>
    <w:tbl>
      <w:tblPr>
        <w:tblStyle w:val="TableGrid"/>
        <w:tblpPr w:leftFromText="180" w:rightFromText="180" w:vertAnchor="text" w:horzAnchor="margin" w:tblpXSpec="center" w:tblpY="86"/>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6"/>
        <w:gridCol w:w="1535"/>
        <w:gridCol w:w="5034"/>
        <w:gridCol w:w="1795"/>
      </w:tblGrid>
      <w:tr w:rsidR="0018274C" w:rsidRPr="00ED6748" w14:paraId="086E656C" w14:textId="77777777" w:rsidTr="009113D8">
        <w:trPr>
          <w:trHeight w:val="440"/>
        </w:trPr>
        <w:tc>
          <w:tcPr>
            <w:tcW w:w="527" w:type="pct"/>
            <w:tcBorders>
              <w:bottom w:val="single" w:sz="4" w:space="0" w:color="BFBFBF" w:themeColor="background1" w:themeShade="BF"/>
            </w:tcBorders>
            <w:vAlign w:val="center"/>
            <w:hideMark/>
          </w:tcPr>
          <w:p w14:paraId="58009AE1" w14:textId="77777777" w:rsidR="0099521D" w:rsidRPr="00ED6748" w:rsidRDefault="0099521D" w:rsidP="00ED6748">
            <w:pPr>
              <w:autoSpaceDE w:val="0"/>
              <w:autoSpaceDN w:val="0"/>
              <w:adjustRightInd w:val="0"/>
              <w:rPr>
                <w:rFonts w:asciiTheme="majorHAnsi" w:hAnsiTheme="majorHAnsi" w:cstheme="minorHAnsi"/>
                <w:b/>
                <w:bCs/>
                <w:color w:val="17365D" w:themeColor="text2" w:themeShade="BF"/>
              </w:rPr>
            </w:pPr>
          </w:p>
        </w:tc>
        <w:tc>
          <w:tcPr>
            <w:tcW w:w="821" w:type="pct"/>
            <w:tcBorders>
              <w:bottom w:val="single" w:sz="4" w:space="0" w:color="BFBFBF" w:themeColor="background1" w:themeShade="BF"/>
            </w:tcBorders>
            <w:vAlign w:val="center"/>
            <w:hideMark/>
          </w:tcPr>
          <w:p w14:paraId="2A428C6C" w14:textId="77777777" w:rsidR="0099521D" w:rsidRPr="00ED6748" w:rsidRDefault="0099521D"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Topic</w:t>
            </w:r>
            <w:r w:rsidR="009B13CA" w:rsidRPr="00ED6748">
              <w:rPr>
                <w:rFonts w:asciiTheme="majorHAnsi" w:hAnsiTheme="majorHAnsi" w:cstheme="minorHAnsi"/>
                <w:b/>
                <w:bCs/>
                <w:color w:val="17365D" w:themeColor="text2" w:themeShade="BF"/>
              </w:rPr>
              <w:t xml:space="preserve"> title</w:t>
            </w:r>
          </w:p>
        </w:tc>
        <w:tc>
          <w:tcPr>
            <w:tcW w:w="2692" w:type="pct"/>
            <w:tcBorders>
              <w:bottom w:val="single" w:sz="4" w:space="0" w:color="BFBFBF" w:themeColor="background1" w:themeShade="BF"/>
            </w:tcBorders>
            <w:vAlign w:val="center"/>
          </w:tcPr>
          <w:p w14:paraId="5611C72D" w14:textId="77777777" w:rsidR="0099521D" w:rsidRPr="00ED6748" w:rsidRDefault="00A07BE7"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Readings per topic</w:t>
            </w:r>
          </w:p>
        </w:tc>
        <w:tc>
          <w:tcPr>
            <w:tcW w:w="960" w:type="pct"/>
            <w:tcBorders>
              <w:bottom w:val="single" w:sz="4" w:space="0" w:color="BFBFBF" w:themeColor="background1" w:themeShade="BF"/>
            </w:tcBorders>
            <w:vAlign w:val="center"/>
            <w:hideMark/>
          </w:tcPr>
          <w:p w14:paraId="0312EF2E" w14:textId="77777777" w:rsidR="0099521D" w:rsidRPr="00ED6748" w:rsidRDefault="00A07BE7"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A</w:t>
            </w:r>
            <w:r w:rsidR="0099521D" w:rsidRPr="00ED6748">
              <w:rPr>
                <w:rFonts w:asciiTheme="majorHAnsi" w:hAnsiTheme="majorHAnsi" w:cstheme="minorHAnsi"/>
                <w:b/>
                <w:bCs/>
                <w:color w:val="17365D" w:themeColor="text2" w:themeShade="BF"/>
              </w:rPr>
              <w:t>ssignments due</w:t>
            </w:r>
          </w:p>
        </w:tc>
      </w:tr>
      <w:tr w:rsidR="0018274C" w:rsidRPr="00ED6748" w14:paraId="6220D03F" w14:textId="77777777" w:rsidTr="009113D8">
        <w:tc>
          <w:tcPr>
            <w:tcW w:w="527" w:type="pct"/>
            <w:shd w:val="clear" w:color="auto" w:fill="D9D9D9" w:themeFill="background1" w:themeFillShade="D9"/>
            <w:vAlign w:val="center"/>
          </w:tcPr>
          <w:p w14:paraId="0E358C13" w14:textId="77777777" w:rsidR="0002607A" w:rsidRPr="00ED6748" w:rsidRDefault="0002607A" w:rsidP="00ED6748">
            <w:pPr>
              <w:autoSpaceDE w:val="0"/>
              <w:autoSpaceDN w:val="0"/>
              <w:adjustRightInd w:val="0"/>
              <w:rPr>
                <w:rFonts w:asciiTheme="majorHAnsi" w:hAnsiTheme="majorHAnsi" w:cstheme="minorHAnsi"/>
                <w:b/>
                <w:bCs/>
                <w:color w:val="17365D" w:themeColor="text2" w:themeShade="BF"/>
              </w:rPr>
            </w:pPr>
          </w:p>
        </w:tc>
        <w:tc>
          <w:tcPr>
            <w:tcW w:w="4473" w:type="pct"/>
            <w:gridSpan w:val="3"/>
            <w:shd w:val="clear" w:color="auto" w:fill="D9D9D9" w:themeFill="background1" w:themeFillShade="D9"/>
          </w:tcPr>
          <w:p w14:paraId="374B62FA" w14:textId="77777777" w:rsidR="0002607A" w:rsidRPr="00ED6748" w:rsidRDefault="0002607A" w:rsidP="00E5443A">
            <w:pPr>
              <w:autoSpaceDE w:val="0"/>
              <w:autoSpaceDN w:val="0"/>
              <w:adjustRightInd w:val="0"/>
              <w:rPr>
                <w:rFonts w:asciiTheme="majorHAnsi" w:hAnsiTheme="majorHAnsi" w:cstheme="minorHAnsi"/>
                <w:b/>
                <w:bCs/>
                <w:color w:val="17365D" w:themeColor="text2" w:themeShade="BF"/>
              </w:rPr>
            </w:pPr>
          </w:p>
        </w:tc>
      </w:tr>
      <w:tr w:rsidR="0018274C" w:rsidRPr="00ED6748" w14:paraId="1C889AA1" w14:textId="77777777" w:rsidTr="009113D8">
        <w:tc>
          <w:tcPr>
            <w:tcW w:w="527" w:type="pct"/>
            <w:vAlign w:val="center"/>
          </w:tcPr>
          <w:p w14:paraId="1FE1E4B2" w14:textId="3E3B8746" w:rsidR="0031147D"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301205" w:rsidRPr="00ED6748">
              <w:rPr>
                <w:rFonts w:asciiTheme="majorHAnsi" w:hAnsiTheme="majorHAnsi" w:cstheme="minorHAnsi"/>
                <w:bCs/>
                <w:color w:val="17365D" w:themeColor="text2" w:themeShade="BF"/>
              </w:rPr>
              <w:t>1</w:t>
            </w:r>
          </w:p>
        </w:tc>
        <w:tc>
          <w:tcPr>
            <w:tcW w:w="821" w:type="pct"/>
          </w:tcPr>
          <w:p w14:paraId="380F320B" w14:textId="7DA3B79E" w:rsidR="00301205" w:rsidRPr="009113D8" w:rsidRDefault="009113D8" w:rsidP="00301205">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Breadth of Sport Consumer Research</w:t>
            </w:r>
          </w:p>
        </w:tc>
        <w:tc>
          <w:tcPr>
            <w:tcW w:w="2692" w:type="pct"/>
          </w:tcPr>
          <w:p w14:paraId="479F4AA6" w14:textId="77777777" w:rsidR="009113D8" w:rsidRPr="009113D8" w:rsidRDefault="009113D8" w:rsidP="009113D8">
            <w:pPr>
              <w:ind w:left="720" w:hanging="720"/>
              <w:rPr>
                <w:rFonts w:asciiTheme="majorHAnsi" w:eastAsia="Arial Unicode MS" w:hAnsiTheme="majorHAnsi" w:cstheme="minorHAnsi"/>
                <w:bCs/>
                <w:iCs/>
              </w:rPr>
            </w:pPr>
            <w:r w:rsidRPr="009113D8">
              <w:rPr>
                <w:rFonts w:asciiTheme="majorHAnsi" w:eastAsia="Arial Unicode MS" w:hAnsiTheme="majorHAnsi" w:cstheme="minorHAnsi"/>
                <w:bCs/>
                <w:iCs/>
              </w:rPr>
              <w:t xml:space="preserve">Calder, B., &amp; </w:t>
            </w:r>
            <w:proofErr w:type="spellStart"/>
            <w:r w:rsidRPr="009113D8">
              <w:rPr>
                <w:rFonts w:asciiTheme="majorHAnsi" w:eastAsia="Arial Unicode MS" w:hAnsiTheme="majorHAnsi" w:cstheme="minorHAnsi"/>
                <w:bCs/>
                <w:iCs/>
              </w:rPr>
              <w:t>Tybout</w:t>
            </w:r>
            <w:proofErr w:type="spellEnd"/>
            <w:r w:rsidRPr="009113D8">
              <w:rPr>
                <w:rFonts w:asciiTheme="majorHAnsi" w:eastAsia="Arial Unicode MS" w:hAnsiTheme="majorHAnsi" w:cstheme="minorHAnsi"/>
                <w:bCs/>
                <w:iCs/>
              </w:rPr>
              <w:t xml:space="preserve">, A. (1987). What consumer research is... </w:t>
            </w:r>
            <w:r w:rsidRPr="009113D8">
              <w:rPr>
                <w:rFonts w:asciiTheme="majorHAnsi" w:eastAsia="Arial Unicode MS" w:hAnsiTheme="majorHAnsi" w:cstheme="minorHAnsi"/>
                <w:bCs/>
                <w:i/>
                <w:iCs/>
              </w:rPr>
              <w:t>Journal of Consumer Research, 14</w:t>
            </w:r>
            <w:r w:rsidRPr="009113D8">
              <w:rPr>
                <w:rFonts w:asciiTheme="majorHAnsi" w:eastAsia="Arial Unicode MS" w:hAnsiTheme="majorHAnsi" w:cstheme="minorHAnsi"/>
                <w:bCs/>
                <w:iCs/>
              </w:rPr>
              <w:t>, 136-140.</w:t>
            </w:r>
          </w:p>
          <w:p w14:paraId="39FF9E5F" w14:textId="155EC3D4" w:rsidR="00301205" w:rsidRPr="009113D8" w:rsidRDefault="009113D8" w:rsidP="009113D8">
            <w:pPr>
              <w:ind w:left="720" w:hanging="720"/>
              <w:rPr>
                <w:rFonts w:asciiTheme="majorHAnsi" w:eastAsia="Arial Unicode MS" w:hAnsiTheme="majorHAnsi" w:cstheme="minorHAnsi"/>
                <w:bCs/>
                <w:iCs/>
              </w:rPr>
            </w:pPr>
            <w:r w:rsidRPr="009113D8">
              <w:rPr>
                <w:rFonts w:asciiTheme="majorHAnsi" w:eastAsia="Arial Unicode MS" w:hAnsiTheme="majorHAnsi" w:cstheme="minorHAnsi"/>
                <w:bCs/>
                <w:iCs/>
              </w:rPr>
              <w:t xml:space="preserve">Funk, D. C. (2017). Introducing a Sport Experience Design (SX) framework for sport consumer </w:t>
            </w:r>
            <w:proofErr w:type="spellStart"/>
            <w:r w:rsidRPr="009113D8">
              <w:rPr>
                <w:rFonts w:asciiTheme="majorHAnsi" w:eastAsia="Arial Unicode MS" w:hAnsiTheme="majorHAnsi" w:cstheme="minorHAnsi"/>
                <w:bCs/>
                <w:iCs/>
              </w:rPr>
              <w:t>behaviour</w:t>
            </w:r>
            <w:proofErr w:type="spellEnd"/>
            <w:r w:rsidRPr="009113D8">
              <w:rPr>
                <w:rFonts w:asciiTheme="majorHAnsi" w:eastAsia="Arial Unicode MS" w:hAnsiTheme="majorHAnsi" w:cstheme="minorHAnsi"/>
                <w:bCs/>
                <w:iCs/>
              </w:rPr>
              <w:t xml:space="preserve"> research. </w:t>
            </w:r>
            <w:r w:rsidRPr="009113D8">
              <w:rPr>
                <w:rFonts w:asciiTheme="majorHAnsi" w:eastAsia="Arial Unicode MS" w:hAnsiTheme="majorHAnsi" w:cstheme="minorHAnsi"/>
                <w:bCs/>
                <w:i/>
                <w:iCs/>
              </w:rPr>
              <w:t>Sport Management Review, 20</w:t>
            </w:r>
            <w:r w:rsidRPr="009113D8">
              <w:rPr>
                <w:rFonts w:asciiTheme="majorHAnsi" w:eastAsia="Arial Unicode MS" w:hAnsiTheme="majorHAnsi" w:cstheme="minorHAnsi"/>
                <w:bCs/>
                <w:iCs/>
              </w:rPr>
              <w:t>, 145-158.</w:t>
            </w:r>
          </w:p>
        </w:tc>
        <w:tc>
          <w:tcPr>
            <w:tcW w:w="960" w:type="pct"/>
          </w:tcPr>
          <w:p w14:paraId="1E6B7C34" w14:textId="77777777" w:rsidR="00301205" w:rsidRPr="00ED6748" w:rsidRDefault="00A07BE7" w:rsidP="00DC003B">
            <w:pPr>
              <w:autoSpaceDE w:val="0"/>
              <w:autoSpaceDN w:val="0"/>
              <w:adjustRightInd w:val="0"/>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55F3CCBA" w14:textId="77777777" w:rsidTr="009113D8">
        <w:tc>
          <w:tcPr>
            <w:tcW w:w="527" w:type="pct"/>
            <w:vAlign w:val="center"/>
          </w:tcPr>
          <w:p w14:paraId="3FA0CDC2" w14:textId="0CC15A41"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2</w:t>
            </w:r>
          </w:p>
        </w:tc>
        <w:tc>
          <w:tcPr>
            <w:tcW w:w="821" w:type="pct"/>
          </w:tcPr>
          <w:p w14:paraId="170258F5" w14:textId="6E943057"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Memory and Cognition</w:t>
            </w:r>
          </w:p>
        </w:tc>
        <w:tc>
          <w:tcPr>
            <w:tcW w:w="2692" w:type="pct"/>
          </w:tcPr>
          <w:p w14:paraId="6C8CB274" w14:textId="77777777" w:rsidR="009113D8" w:rsidRPr="009113D8" w:rsidRDefault="009113D8" w:rsidP="009113D8">
            <w:pPr>
              <w:ind w:left="720" w:hanging="720"/>
              <w:rPr>
                <w:rFonts w:asciiTheme="majorHAnsi" w:hAnsiTheme="majorHAnsi"/>
              </w:rPr>
            </w:pPr>
            <w:r w:rsidRPr="009113D8">
              <w:rPr>
                <w:rFonts w:asciiTheme="majorHAnsi" w:hAnsiTheme="majorHAnsi"/>
              </w:rPr>
              <w:t xml:space="preserve">Gilbert (1991). How mental systems believe. </w:t>
            </w:r>
            <w:r w:rsidRPr="009113D8">
              <w:rPr>
                <w:rFonts w:asciiTheme="majorHAnsi" w:hAnsiTheme="majorHAnsi"/>
                <w:i/>
                <w:iCs/>
              </w:rPr>
              <w:t>American Psychologist, 46</w:t>
            </w:r>
            <w:r w:rsidRPr="009113D8">
              <w:rPr>
                <w:rFonts w:asciiTheme="majorHAnsi" w:hAnsiTheme="majorHAnsi"/>
              </w:rPr>
              <w:t>, 107-119.</w:t>
            </w:r>
          </w:p>
          <w:p w14:paraId="501B5B70" w14:textId="50312218" w:rsidR="00A07BE7" w:rsidRPr="009113D8" w:rsidRDefault="009113D8" w:rsidP="009113D8">
            <w:pPr>
              <w:ind w:left="720" w:hanging="720"/>
              <w:rPr>
                <w:rFonts w:asciiTheme="majorHAnsi" w:hAnsiTheme="majorHAnsi"/>
              </w:rPr>
            </w:pPr>
            <w:r w:rsidRPr="009113D8">
              <w:rPr>
                <w:rFonts w:asciiTheme="majorHAnsi" w:hAnsiTheme="majorHAnsi"/>
              </w:rPr>
              <w:t xml:space="preserve">Zauberman, G., Ratner, R. K., &amp; Kim, B. K. (2009). Memories as assets: Strategic memory protection in choice over time. </w:t>
            </w:r>
            <w:r w:rsidRPr="009113D8">
              <w:rPr>
                <w:rFonts w:asciiTheme="majorHAnsi" w:hAnsiTheme="majorHAnsi"/>
                <w:i/>
              </w:rPr>
              <w:t>Journal of Consumer Research</w:t>
            </w:r>
            <w:r w:rsidRPr="009113D8">
              <w:rPr>
                <w:rFonts w:asciiTheme="majorHAnsi" w:hAnsiTheme="majorHAnsi"/>
              </w:rPr>
              <w:t>, 35, 715-728.</w:t>
            </w:r>
          </w:p>
        </w:tc>
        <w:tc>
          <w:tcPr>
            <w:tcW w:w="960" w:type="pct"/>
          </w:tcPr>
          <w:p w14:paraId="448FA683"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4051B7B9" w14:textId="77777777" w:rsidTr="009113D8">
        <w:trPr>
          <w:trHeight w:val="180"/>
        </w:trPr>
        <w:tc>
          <w:tcPr>
            <w:tcW w:w="527" w:type="pct"/>
            <w:vAlign w:val="center"/>
          </w:tcPr>
          <w:p w14:paraId="0501CCF2" w14:textId="70B03093"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3</w:t>
            </w:r>
          </w:p>
        </w:tc>
        <w:tc>
          <w:tcPr>
            <w:tcW w:w="821" w:type="pct"/>
          </w:tcPr>
          <w:p w14:paraId="31201D6E" w14:textId="7A342CF3"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Classical and Evaluative Conditioning</w:t>
            </w:r>
          </w:p>
        </w:tc>
        <w:tc>
          <w:tcPr>
            <w:tcW w:w="2692" w:type="pct"/>
          </w:tcPr>
          <w:p w14:paraId="462669CF"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lang w:val="x-none"/>
              </w:rPr>
              <w:t>Chang, Y. (</w:t>
            </w:r>
            <w:r w:rsidRPr="009113D8">
              <w:rPr>
                <w:rFonts w:asciiTheme="majorHAnsi" w:eastAsia="Arial Unicode MS" w:hAnsiTheme="majorHAnsi"/>
                <w:iCs/>
              </w:rPr>
              <w:t>2018</w:t>
            </w:r>
            <w:r w:rsidRPr="009113D8">
              <w:rPr>
                <w:rFonts w:asciiTheme="majorHAnsi" w:eastAsia="Arial Unicode MS" w:hAnsiTheme="majorHAnsi"/>
                <w:iCs/>
                <w:lang w:val="x-none"/>
              </w:rPr>
              <w:t>). Exploring the patterns of dual attitude changes in the context of athlete endorsement: The interplay of</w:t>
            </w:r>
            <w:r w:rsidRPr="009113D8">
              <w:rPr>
                <w:rFonts w:asciiTheme="majorHAnsi" w:eastAsia="Arial Unicode MS" w:hAnsiTheme="majorHAnsi"/>
                <w:iCs/>
              </w:rPr>
              <w:t xml:space="preserve"> </w:t>
            </w:r>
            <w:r w:rsidRPr="009113D8">
              <w:rPr>
                <w:rFonts w:asciiTheme="majorHAnsi" w:eastAsia="Arial Unicode MS" w:hAnsiTheme="majorHAnsi"/>
                <w:iCs/>
                <w:lang w:val="x-none"/>
              </w:rPr>
              <w:t xml:space="preserve">fit, evaluative conditioning, and introspection focus. </w:t>
            </w:r>
            <w:r w:rsidRPr="009113D8">
              <w:rPr>
                <w:rFonts w:asciiTheme="majorHAnsi" w:eastAsia="Arial Unicode MS" w:hAnsiTheme="majorHAnsi"/>
                <w:i/>
                <w:iCs/>
              </w:rPr>
              <w:t>Journal of Sport Management, 32</w:t>
            </w:r>
            <w:r w:rsidRPr="009113D8">
              <w:rPr>
                <w:rFonts w:asciiTheme="majorHAnsi" w:eastAsia="Arial Unicode MS" w:hAnsiTheme="majorHAnsi"/>
                <w:iCs/>
              </w:rPr>
              <w:t>, 413-425.</w:t>
            </w:r>
          </w:p>
          <w:p w14:paraId="3815E3AC" w14:textId="3C843681" w:rsidR="00A07BE7"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Cunha, M., Laran, J., &amp; Janiszewski, C. (2008). Protection of prior learning in complex consumer learning environments. </w:t>
            </w:r>
            <w:r w:rsidRPr="009113D8">
              <w:rPr>
                <w:rFonts w:asciiTheme="majorHAnsi" w:eastAsia="Arial Unicode MS" w:hAnsiTheme="majorHAnsi"/>
                <w:i/>
                <w:iCs/>
              </w:rPr>
              <w:t>Journal of Consumer Research</w:t>
            </w:r>
            <w:r w:rsidRPr="009113D8">
              <w:rPr>
                <w:rFonts w:asciiTheme="majorHAnsi" w:eastAsia="Arial Unicode MS" w:hAnsiTheme="majorHAnsi"/>
                <w:iCs/>
              </w:rPr>
              <w:t>, 34, 850-864.</w:t>
            </w:r>
          </w:p>
        </w:tc>
        <w:tc>
          <w:tcPr>
            <w:tcW w:w="960" w:type="pct"/>
          </w:tcPr>
          <w:p w14:paraId="3ACC07BD"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1FA43436" w14:textId="77777777" w:rsidTr="009113D8">
        <w:trPr>
          <w:trHeight w:val="171"/>
        </w:trPr>
        <w:tc>
          <w:tcPr>
            <w:tcW w:w="527" w:type="pct"/>
            <w:tcBorders>
              <w:bottom w:val="single" w:sz="4" w:space="0" w:color="BFBFBF" w:themeColor="background1" w:themeShade="BF"/>
            </w:tcBorders>
            <w:vAlign w:val="center"/>
          </w:tcPr>
          <w:p w14:paraId="1A021AC9" w14:textId="324463C0"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4</w:t>
            </w:r>
          </w:p>
        </w:tc>
        <w:tc>
          <w:tcPr>
            <w:tcW w:w="821" w:type="pct"/>
            <w:tcBorders>
              <w:bottom w:val="single" w:sz="4" w:space="0" w:color="BFBFBF" w:themeColor="background1" w:themeShade="BF"/>
            </w:tcBorders>
          </w:tcPr>
          <w:p w14:paraId="5DCA5E0B" w14:textId="285E4FC9"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Personality, Values, and Lifestyles</w:t>
            </w:r>
          </w:p>
        </w:tc>
        <w:tc>
          <w:tcPr>
            <w:tcW w:w="2692" w:type="pct"/>
          </w:tcPr>
          <w:p w14:paraId="2D33F53D"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lang w:val="x-none"/>
              </w:rPr>
              <w:t xml:space="preserve">Chang, Y., Ko, Y. J., &amp; </w:t>
            </w:r>
            <w:r w:rsidRPr="009113D8">
              <w:rPr>
                <w:rFonts w:asciiTheme="majorHAnsi" w:eastAsia="Arial Unicode MS" w:hAnsiTheme="majorHAnsi"/>
                <w:iCs/>
              </w:rPr>
              <w:t>Jang, W</w:t>
            </w:r>
            <w:r w:rsidRPr="009113D8">
              <w:rPr>
                <w:rFonts w:asciiTheme="majorHAnsi" w:eastAsia="Arial Unicode MS" w:hAnsiTheme="majorHAnsi"/>
                <w:iCs/>
                <w:lang w:val="x-none"/>
              </w:rPr>
              <w:t>. (</w:t>
            </w:r>
            <w:r w:rsidRPr="009113D8">
              <w:rPr>
                <w:rFonts w:asciiTheme="majorHAnsi" w:eastAsia="Arial Unicode MS" w:hAnsiTheme="majorHAnsi"/>
                <w:iCs/>
              </w:rPr>
              <w:t>2019</w:t>
            </w:r>
            <w:r w:rsidRPr="009113D8">
              <w:rPr>
                <w:rFonts w:asciiTheme="majorHAnsi" w:eastAsia="Arial Unicode MS" w:hAnsiTheme="majorHAnsi"/>
                <w:iCs/>
                <w:lang w:val="x-none"/>
              </w:rPr>
              <w:t xml:space="preserve">). </w:t>
            </w:r>
            <w:r w:rsidRPr="009113D8">
              <w:rPr>
                <w:rFonts w:asciiTheme="majorHAnsi" w:eastAsia="Arial Unicode MS" w:hAnsiTheme="majorHAnsi"/>
                <w:iCs/>
              </w:rPr>
              <w:t>Personality determinants of consumption of premium seats in sports stadiums</w:t>
            </w:r>
            <w:r w:rsidRPr="009113D8">
              <w:rPr>
                <w:rFonts w:asciiTheme="majorHAnsi" w:eastAsia="Arial Unicode MS" w:hAnsiTheme="majorHAnsi"/>
                <w:iCs/>
                <w:lang w:val="x-none"/>
              </w:rPr>
              <w:t xml:space="preserve">. </w:t>
            </w:r>
            <w:r w:rsidRPr="009113D8">
              <w:rPr>
                <w:rFonts w:asciiTheme="majorHAnsi" w:eastAsia="Arial Unicode MS" w:hAnsiTheme="majorHAnsi"/>
                <w:i/>
                <w:iCs/>
              </w:rPr>
              <w:t>International Journal of Contemporary Hospitality Management, 31</w:t>
            </w:r>
            <w:r w:rsidRPr="009113D8">
              <w:rPr>
                <w:rFonts w:asciiTheme="majorHAnsi" w:eastAsia="Arial Unicode MS" w:hAnsiTheme="majorHAnsi"/>
                <w:iCs/>
              </w:rPr>
              <w:t>, 3395-3414.</w:t>
            </w:r>
          </w:p>
          <w:p w14:paraId="3D53EE24"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Kahneman (2003). A perspective on judgment and choice: Mapping bounded rationality. </w:t>
            </w:r>
            <w:r w:rsidRPr="009113D8">
              <w:rPr>
                <w:rFonts w:asciiTheme="majorHAnsi" w:eastAsia="Arial Unicode MS" w:hAnsiTheme="majorHAnsi"/>
                <w:i/>
              </w:rPr>
              <w:t>American Psychologist, 58</w:t>
            </w:r>
            <w:r w:rsidRPr="009113D8">
              <w:rPr>
                <w:rFonts w:asciiTheme="majorHAnsi" w:eastAsia="Arial Unicode MS" w:hAnsiTheme="majorHAnsi"/>
                <w:iCs/>
              </w:rPr>
              <w:t>, 697-720.</w:t>
            </w:r>
          </w:p>
          <w:p w14:paraId="3786C1B6" w14:textId="0A2333AD" w:rsidR="00A07BE7"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Yoshida, M., &amp; James, J. D. (2010). Customer satisfaction with game and service experiences: Antecedents and consequences. </w:t>
            </w:r>
            <w:r w:rsidRPr="009113D8">
              <w:rPr>
                <w:rFonts w:asciiTheme="majorHAnsi" w:eastAsia="Arial Unicode MS" w:hAnsiTheme="majorHAnsi"/>
                <w:i/>
                <w:iCs/>
              </w:rPr>
              <w:t>Journal of Sport Management</w:t>
            </w:r>
            <w:r w:rsidRPr="009113D8">
              <w:rPr>
                <w:rFonts w:asciiTheme="majorHAnsi" w:eastAsia="Arial Unicode MS" w:hAnsiTheme="majorHAnsi"/>
                <w:iCs/>
              </w:rPr>
              <w:t>, </w:t>
            </w:r>
            <w:r w:rsidRPr="009113D8">
              <w:rPr>
                <w:rFonts w:asciiTheme="majorHAnsi" w:eastAsia="Arial Unicode MS" w:hAnsiTheme="majorHAnsi"/>
                <w:i/>
                <w:iCs/>
              </w:rPr>
              <w:t>24</w:t>
            </w:r>
            <w:r w:rsidRPr="009113D8">
              <w:rPr>
                <w:rFonts w:asciiTheme="majorHAnsi" w:eastAsia="Arial Unicode MS" w:hAnsiTheme="majorHAnsi"/>
                <w:iCs/>
              </w:rPr>
              <w:t>, 338-361.</w:t>
            </w:r>
          </w:p>
        </w:tc>
        <w:tc>
          <w:tcPr>
            <w:tcW w:w="960" w:type="pct"/>
            <w:tcBorders>
              <w:bottom w:val="single" w:sz="4" w:space="0" w:color="BFBFBF" w:themeColor="background1" w:themeShade="BF"/>
            </w:tcBorders>
          </w:tcPr>
          <w:p w14:paraId="47C2244E" w14:textId="77777777" w:rsidR="00A07BE7" w:rsidRPr="00ED6748" w:rsidRDefault="00A07BE7" w:rsidP="00A07BE7">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7DF79F38" w14:textId="77777777" w:rsidR="00A07BE7" w:rsidRPr="00ED6748" w:rsidRDefault="00A07BE7" w:rsidP="00A07BE7">
            <w:pPr>
              <w:rPr>
                <w:b/>
                <w:i/>
                <w:color w:val="17365D" w:themeColor="text2" w:themeShade="BF"/>
              </w:rPr>
            </w:pPr>
            <w:r w:rsidRPr="00ED6748">
              <w:rPr>
                <w:rFonts w:asciiTheme="majorHAnsi" w:hAnsiTheme="majorHAnsi" w:cstheme="minorHAnsi"/>
                <w:b/>
                <w:bCs/>
                <w:i/>
                <w:color w:val="17365D" w:themeColor="text2" w:themeShade="BF"/>
              </w:rPr>
              <w:t>Meet with advisor</w:t>
            </w:r>
          </w:p>
        </w:tc>
      </w:tr>
      <w:tr w:rsidR="0018274C" w:rsidRPr="00ED6748" w14:paraId="4A966095" w14:textId="77777777" w:rsidTr="009113D8">
        <w:tc>
          <w:tcPr>
            <w:tcW w:w="527" w:type="pct"/>
            <w:vAlign w:val="center"/>
          </w:tcPr>
          <w:p w14:paraId="7973C1AC" w14:textId="04B38968"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5</w:t>
            </w:r>
          </w:p>
        </w:tc>
        <w:tc>
          <w:tcPr>
            <w:tcW w:w="821" w:type="pct"/>
          </w:tcPr>
          <w:p w14:paraId="68D9DD51" w14:textId="35FFCC3C"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Perceptions and Attitudes</w:t>
            </w:r>
          </w:p>
        </w:tc>
        <w:tc>
          <w:tcPr>
            <w:tcW w:w="2692" w:type="pct"/>
          </w:tcPr>
          <w:p w14:paraId="2860BCAE"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Chang, Y., &amp; Ko, Y. J. (2017). Consumers’ perceived post purchase risk in luxury services. </w:t>
            </w:r>
            <w:r w:rsidRPr="009113D8">
              <w:rPr>
                <w:rFonts w:asciiTheme="majorHAnsi" w:eastAsia="Arial Unicode MS" w:hAnsiTheme="majorHAnsi"/>
                <w:bCs/>
                <w:i/>
                <w:iCs/>
              </w:rPr>
              <w:t>International Journal of Hospitality Management, 61</w:t>
            </w:r>
            <w:r w:rsidRPr="009113D8">
              <w:rPr>
                <w:rFonts w:asciiTheme="majorHAnsi" w:eastAsia="Arial Unicode MS" w:hAnsiTheme="majorHAnsi"/>
                <w:bCs/>
                <w:iCs/>
              </w:rPr>
              <w:t>, 94-106.</w:t>
            </w:r>
          </w:p>
          <w:p w14:paraId="22331802"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Kahneman &amp; Thaler (2006). Anomalies: Utility maximization and experienced utility. </w:t>
            </w:r>
            <w:r w:rsidRPr="009113D8">
              <w:rPr>
                <w:rFonts w:asciiTheme="majorHAnsi" w:eastAsia="Arial Unicode MS" w:hAnsiTheme="majorHAnsi"/>
                <w:i/>
              </w:rPr>
              <w:t>Journal of Economic Perspectives, 20</w:t>
            </w:r>
            <w:r w:rsidRPr="009113D8">
              <w:rPr>
                <w:rFonts w:asciiTheme="majorHAnsi" w:eastAsia="Arial Unicode MS" w:hAnsiTheme="majorHAnsi"/>
                <w:iCs/>
              </w:rPr>
              <w:t>, 221-234.</w:t>
            </w:r>
          </w:p>
          <w:p w14:paraId="090C53C1" w14:textId="1D271B96" w:rsidR="00A07BE7"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Kahneman &amp; Tversky (1984). Choices, values, and frames. </w:t>
            </w:r>
            <w:r w:rsidRPr="009113D8">
              <w:rPr>
                <w:rFonts w:asciiTheme="majorHAnsi" w:eastAsia="Arial Unicode MS" w:hAnsiTheme="majorHAnsi"/>
                <w:i/>
              </w:rPr>
              <w:t>American Psychologist, 39</w:t>
            </w:r>
            <w:r w:rsidRPr="009113D8">
              <w:rPr>
                <w:rFonts w:asciiTheme="majorHAnsi" w:eastAsia="Arial Unicode MS" w:hAnsiTheme="majorHAnsi"/>
                <w:iCs/>
              </w:rPr>
              <w:t>, 341- 350.</w:t>
            </w:r>
          </w:p>
        </w:tc>
        <w:tc>
          <w:tcPr>
            <w:tcW w:w="960" w:type="pct"/>
          </w:tcPr>
          <w:p w14:paraId="38F5D919"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2EA68325" w14:textId="77777777" w:rsidTr="009113D8">
        <w:tc>
          <w:tcPr>
            <w:tcW w:w="527" w:type="pct"/>
            <w:vAlign w:val="center"/>
          </w:tcPr>
          <w:p w14:paraId="06041F6E" w14:textId="76AB0749"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6</w:t>
            </w:r>
          </w:p>
        </w:tc>
        <w:tc>
          <w:tcPr>
            <w:tcW w:w="821" w:type="pct"/>
          </w:tcPr>
          <w:p w14:paraId="673676A1" w14:textId="1A35E625"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Implicit Memory and Heuristics</w:t>
            </w:r>
          </w:p>
        </w:tc>
        <w:tc>
          <w:tcPr>
            <w:tcW w:w="2692" w:type="pct"/>
          </w:tcPr>
          <w:p w14:paraId="08E652FC"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Chang, Y., Schull, V., &amp; Kihl, L. A. (2021). Remedying stereotype threat effects in spectator sports. </w:t>
            </w:r>
            <w:r w:rsidRPr="009113D8">
              <w:rPr>
                <w:rFonts w:asciiTheme="majorHAnsi" w:eastAsia="Arial Unicode MS" w:hAnsiTheme="majorHAnsi"/>
                <w:bCs/>
                <w:i/>
                <w:iCs/>
              </w:rPr>
              <w:t>Journal of Sport Management</w:t>
            </w:r>
            <w:r w:rsidRPr="009113D8">
              <w:rPr>
                <w:rFonts w:asciiTheme="majorHAnsi" w:eastAsia="Arial Unicode MS" w:hAnsiTheme="majorHAnsi"/>
                <w:bCs/>
                <w:iCs/>
              </w:rPr>
              <w:t>.</w:t>
            </w:r>
          </w:p>
          <w:p w14:paraId="070A43B9"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Greenwald, A. G., McGhee, D. E., &amp; Schwartz, J. L. K. (1998). Measuring individual differences in implicit cognition: The implicit association test. </w:t>
            </w:r>
            <w:r w:rsidRPr="009113D8">
              <w:rPr>
                <w:rFonts w:asciiTheme="majorHAnsi" w:eastAsia="Arial Unicode MS" w:hAnsiTheme="majorHAnsi"/>
                <w:bCs/>
                <w:i/>
              </w:rPr>
              <w:t>Journal of Personality and Social Psychology, 74</w:t>
            </w:r>
            <w:r w:rsidRPr="009113D8">
              <w:rPr>
                <w:rFonts w:asciiTheme="majorHAnsi" w:eastAsia="Arial Unicode MS" w:hAnsiTheme="majorHAnsi"/>
                <w:bCs/>
                <w:iCs/>
              </w:rPr>
              <w:t>, 1464-1480.</w:t>
            </w:r>
          </w:p>
          <w:p w14:paraId="2F71FD1E" w14:textId="223B17E2" w:rsidR="00A07BE7"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lastRenderedPageBreak/>
              <w:t xml:space="preserve">Kahneman, D., &amp; Tversky, A. (1996). On the reality of cognitive illusions. </w:t>
            </w:r>
            <w:r w:rsidRPr="009113D8">
              <w:rPr>
                <w:rFonts w:asciiTheme="majorHAnsi" w:eastAsia="Arial Unicode MS" w:hAnsiTheme="majorHAnsi"/>
                <w:bCs/>
                <w:i/>
              </w:rPr>
              <w:t>Psychological Review, 103</w:t>
            </w:r>
            <w:r w:rsidRPr="009113D8">
              <w:rPr>
                <w:rFonts w:asciiTheme="majorHAnsi" w:eastAsia="Arial Unicode MS" w:hAnsiTheme="majorHAnsi"/>
                <w:bCs/>
                <w:iCs/>
              </w:rPr>
              <w:t>, 582-591.</w:t>
            </w:r>
          </w:p>
        </w:tc>
        <w:tc>
          <w:tcPr>
            <w:tcW w:w="960" w:type="pct"/>
          </w:tcPr>
          <w:p w14:paraId="430840B0"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lastRenderedPageBreak/>
              <w:t xml:space="preserve">Weekly article reflections </w:t>
            </w:r>
          </w:p>
        </w:tc>
      </w:tr>
      <w:tr w:rsidR="0018274C" w:rsidRPr="00ED6748" w14:paraId="751C6168" w14:textId="77777777" w:rsidTr="009113D8">
        <w:tc>
          <w:tcPr>
            <w:tcW w:w="527" w:type="pct"/>
            <w:vAlign w:val="center"/>
          </w:tcPr>
          <w:p w14:paraId="4501E8CD" w14:textId="1A4377AE"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7</w:t>
            </w:r>
          </w:p>
        </w:tc>
        <w:tc>
          <w:tcPr>
            <w:tcW w:w="821" w:type="pct"/>
          </w:tcPr>
          <w:p w14:paraId="754CC973" w14:textId="0FB14765"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Mere Exposure and Impulsivity</w:t>
            </w:r>
          </w:p>
        </w:tc>
        <w:tc>
          <w:tcPr>
            <w:tcW w:w="2692" w:type="pct"/>
          </w:tcPr>
          <w:p w14:paraId="235E902B"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Chang, Y. (2018). When infamy becomes fame: The positive side of negative athlete publicity. </w:t>
            </w:r>
            <w:r w:rsidRPr="009113D8">
              <w:rPr>
                <w:rFonts w:asciiTheme="majorHAnsi" w:eastAsia="Arial Unicode MS" w:hAnsiTheme="majorHAnsi"/>
                <w:i/>
                <w:iCs/>
              </w:rPr>
              <w:t>Journal of Sport Management, 32</w:t>
            </w:r>
            <w:r w:rsidRPr="009113D8">
              <w:rPr>
                <w:rFonts w:asciiTheme="majorHAnsi" w:eastAsia="Arial Unicode MS" w:hAnsiTheme="majorHAnsi"/>
                <w:iCs/>
              </w:rPr>
              <w:t>, 401-411.</w:t>
            </w:r>
          </w:p>
          <w:p w14:paraId="1DD93DD6" w14:textId="15D2D39B" w:rsidR="00A07BE7" w:rsidRPr="009113D8" w:rsidRDefault="009113D8" w:rsidP="009113D8">
            <w:pPr>
              <w:ind w:left="720" w:hanging="720"/>
              <w:rPr>
                <w:rFonts w:asciiTheme="majorHAnsi" w:eastAsia="Arial Unicode MS" w:hAnsiTheme="majorHAnsi"/>
                <w:iCs/>
              </w:rPr>
            </w:pPr>
            <w:proofErr w:type="spellStart"/>
            <w:r w:rsidRPr="009113D8">
              <w:rPr>
                <w:rFonts w:asciiTheme="majorHAnsi" w:eastAsia="Arial Unicode MS" w:hAnsiTheme="majorHAnsi"/>
                <w:iCs/>
              </w:rPr>
              <w:t>Skurnik</w:t>
            </w:r>
            <w:proofErr w:type="spellEnd"/>
            <w:r w:rsidRPr="009113D8">
              <w:rPr>
                <w:rFonts w:asciiTheme="majorHAnsi" w:eastAsia="Arial Unicode MS" w:hAnsiTheme="majorHAnsi"/>
                <w:iCs/>
              </w:rPr>
              <w:t xml:space="preserve">, I., Yoon, C., Park, D. C., &amp; Schwartz, N. (2005). How warnings about false claims become recommendations. </w:t>
            </w:r>
            <w:r w:rsidRPr="009113D8">
              <w:rPr>
                <w:rFonts w:asciiTheme="majorHAnsi" w:eastAsia="Arial Unicode MS" w:hAnsiTheme="majorHAnsi"/>
                <w:i/>
                <w:iCs/>
              </w:rPr>
              <w:t>Journal of Consumer Research</w:t>
            </w:r>
            <w:r w:rsidRPr="009113D8">
              <w:rPr>
                <w:rFonts w:asciiTheme="majorHAnsi" w:eastAsia="Arial Unicode MS" w:hAnsiTheme="majorHAnsi"/>
                <w:iCs/>
              </w:rPr>
              <w:t>, 31, 713-724.</w:t>
            </w:r>
          </w:p>
        </w:tc>
        <w:tc>
          <w:tcPr>
            <w:tcW w:w="960" w:type="pct"/>
          </w:tcPr>
          <w:p w14:paraId="3225F45D"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2DC30ED9" w14:textId="77777777" w:rsidTr="009113D8">
        <w:tc>
          <w:tcPr>
            <w:tcW w:w="527" w:type="pct"/>
            <w:vAlign w:val="center"/>
          </w:tcPr>
          <w:p w14:paraId="5CD1D9E0" w14:textId="295300F0"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8</w:t>
            </w:r>
          </w:p>
        </w:tc>
        <w:tc>
          <w:tcPr>
            <w:tcW w:w="821" w:type="pct"/>
          </w:tcPr>
          <w:p w14:paraId="79A05364" w14:textId="0389569E"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Sport Consumer Culture</w:t>
            </w:r>
          </w:p>
        </w:tc>
        <w:tc>
          <w:tcPr>
            <w:tcW w:w="2692" w:type="pct"/>
          </w:tcPr>
          <w:p w14:paraId="7F519F45" w14:textId="77777777" w:rsidR="009113D8" w:rsidRPr="009113D8" w:rsidRDefault="009113D8" w:rsidP="009113D8">
            <w:pPr>
              <w:widowControl w:val="0"/>
              <w:autoSpaceDE w:val="0"/>
              <w:autoSpaceDN w:val="0"/>
              <w:adjustRightInd w:val="0"/>
              <w:ind w:left="540" w:hanging="540"/>
              <w:rPr>
                <w:rFonts w:asciiTheme="majorHAnsi" w:hAnsiTheme="majorHAnsi"/>
                <w:color w:val="000000" w:themeColor="text1"/>
              </w:rPr>
            </w:pPr>
            <w:r w:rsidRPr="009113D8">
              <w:rPr>
                <w:rFonts w:asciiTheme="majorHAnsi" w:hAnsiTheme="majorHAnsi"/>
                <w:color w:val="000000" w:themeColor="text1"/>
              </w:rPr>
              <w:t xml:space="preserve">Campbell, R. M., Aiken, D., &amp; Kent, A. (2004). Beyond </w:t>
            </w:r>
            <w:proofErr w:type="spellStart"/>
            <w:r w:rsidRPr="009113D8">
              <w:rPr>
                <w:rFonts w:asciiTheme="majorHAnsi" w:hAnsiTheme="majorHAnsi"/>
                <w:color w:val="000000" w:themeColor="text1"/>
              </w:rPr>
              <w:t>BIRGing</w:t>
            </w:r>
            <w:proofErr w:type="spellEnd"/>
            <w:r w:rsidRPr="009113D8">
              <w:rPr>
                <w:rFonts w:asciiTheme="majorHAnsi" w:hAnsiTheme="majorHAnsi"/>
                <w:color w:val="000000" w:themeColor="text1"/>
              </w:rPr>
              <w:t xml:space="preserve"> and </w:t>
            </w:r>
            <w:proofErr w:type="spellStart"/>
            <w:r w:rsidRPr="009113D8">
              <w:rPr>
                <w:rFonts w:asciiTheme="majorHAnsi" w:hAnsiTheme="majorHAnsi"/>
                <w:color w:val="000000" w:themeColor="text1"/>
              </w:rPr>
              <w:t>CORFing</w:t>
            </w:r>
            <w:proofErr w:type="spellEnd"/>
            <w:r w:rsidRPr="009113D8">
              <w:rPr>
                <w:rFonts w:asciiTheme="majorHAnsi" w:hAnsiTheme="majorHAnsi"/>
                <w:color w:val="000000" w:themeColor="text1"/>
              </w:rPr>
              <w:t xml:space="preserve">: Continuing the exploration of fan </w:t>
            </w:r>
            <w:proofErr w:type="spellStart"/>
            <w:r w:rsidRPr="009113D8">
              <w:rPr>
                <w:rFonts w:asciiTheme="majorHAnsi" w:hAnsiTheme="majorHAnsi"/>
                <w:color w:val="000000" w:themeColor="text1"/>
              </w:rPr>
              <w:t>behaviour</w:t>
            </w:r>
            <w:proofErr w:type="spellEnd"/>
            <w:r w:rsidRPr="009113D8">
              <w:rPr>
                <w:rFonts w:asciiTheme="majorHAnsi" w:hAnsiTheme="majorHAnsi"/>
                <w:color w:val="000000" w:themeColor="text1"/>
              </w:rPr>
              <w:t xml:space="preserve">. </w:t>
            </w:r>
            <w:r w:rsidRPr="009113D8">
              <w:rPr>
                <w:rFonts w:asciiTheme="majorHAnsi" w:hAnsiTheme="majorHAnsi"/>
                <w:i/>
                <w:color w:val="000000" w:themeColor="text1"/>
              </w:rPr>
              <w:t>Sport Marketing Quarterly, 13</w:t>
            </w:r>
            <w:r w:rsidRPr="009113D8">
              <w:rPr>
                <w:rFonts w:asciiTheme="majorHAnsi" w:hAnsiTheme="majorHAnsi"/>
                <w:color w:val="000000" w:themeColor="text1"/>
              </w:rPr>
              <w:t>, 151-157.</w:t>
            </w:r>
          </w:p>
          <w:p w14:paraId="7958183E" w14:textId="77777777" w:rsidR="009113D8" w:rsidRPr="009113D8" w:rsidRDefault="009113D8" w:rsidP="009113D8">
            <w:pPr>
              <w:widowControl w:val="0"/>
              <w:autoSpaceDE w:val="0"/>
              <w:autoSpaceDN w:val="0"/>
              <w:adjustRightInd w:val="0"/>
              <w:ind w:left="540" w:hanging="540"/>
              <w:rPr>
                <w:rFonts w:asciiTheme="majorHAnsi" w:hAnsiTheme="majorHAnsi"/>
                <w:bCs/>
                <w:color w:val="000000" w:themeColor="text1"/>
              </w:rPr>
            </w:pPr>
            <w:r w:rsidRPr="009113D8">
              <w:rPr>
                <w:rFonts w:asciiTheme="majorHAnsi" w:hAnsiTheme="majorHAnsi"/>
                <w:bCs/>
                <w:color w:val="000000" w:themeColor="text1"/>
              </w:rPr>
              <w:t>Chang, Y., Wann, D. L., &amp; Han, G. J. (2021). Hormonal account of status-seeking behavior.</w:t>
            </w:r>
          </w:p>
          <w:p w14:paraId="16AC2E8C" w14:textId="4243371C" w:rsidR="00A07BE7" w:rsidRPr="009113D8" w:rsidRDefault="009113D8" w:rsidP="009113D8">
            <w:pPr>
              <w:widowControl w:val="0"/>
              <w:autoSpaceDE w:val="0"/>
              <w:autoSpaceDN w:val="0"/>
              <w:adjustRightInd w:val="0"/>
              <w:ind w:left="540" w:hanging="540"/>
              <w:rPr>
                <w:rFonts w:asciiTheme="majorHAnsi" w:hAnsiTheme="majorHAnsi"/>
                <w:color w:val="000000" w:themeColor="text1"/>
              </w:rPr>
            </w:pPr>
            <w:r w:rsidRPr="009113D8">
              <w:rPr>
                <w:rFonts w:asciiTheme="majorHAnsi" w:hAnsiTheme="majorHAnsi"/>
                <w:color w:val="000000" w:themeColor="text1"/>
              </w:rPr>
              <w:t xml:space="preserve">Kunkel, T., Doyle, J. P., &amp; Funk, D. C. (2014). Exploring sport brand development strategies to strengthen consumer involvement with the product – the case of the Australian A-League. </w:t>
            </w:r>
            <w:r w:rsidRPr="009113D8">
              <w:rPr>
                <w:rFonts w:asciiTheme="majorHAnsi" w:hAnsiTheme="majorHAnsi"/>
                <w:i/>
                <w:color w:val="000000" w:themeColor="text1"/>
              </w:rPr>
              <w:t>Sport Management Review, 17</w:t>
            </w:r>
            <w:r w:rsidRPr="009113D8">
              <w:rPr>
                <w:rFonts w:asciiTheme="majorHAnsi" w:hAnsiTheme="majorHAnsi"/>
                <w:color w:val="000000" w:themeColor="text1"/>
              </w:rPr>
              <w:t>, 470-483.</w:t>
            </w:r>
          </w:p>
        </w:tc>
        <w:tc>
          <w:tcPr>
            <w:tcW w:w="960" w:type="pct"/>
          </w:tcPr>
          <w:p w14:paraId="66827737" w14:textId="77777777" w:rsidR="00A07BE7" w:rsidRPr="00ED6748" w:rsidRDefault="00A07BE7" w:rsidP="00A07BE7">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36246853" w14:textId="77777777" w:rsidR="00A07BE7" w:rsidRPr="00ED6748" w:rsidRDefault="00A07BE7" w:rsidP="00A07BE7">
            <w:pPr>
              <w:rPr>
                <w:color w:val="17365D" w:themeColor="text2" w:themeShade="BF"/>
              </w:rPr>
            </w:pPr>
            <w:r w:rsidRPr="00ED6748">
              <w:rPr>
                <w:rFonts w:asciiTheme="majorHAnsi" w:hAnsiTheme="majorHAnsi" w:cstheme="minorHAnsi"/>
                <w:b/>
                <w:bCs/>
                <w:i/>
                <w:color w:val="17365D" w:themeColor="text2" w:themeShade="BF"/>
              </w:rPr>
              <w:t>Meet with advisor</w:t>
            </w:r>
          </w:p>
        </w:tc>
      </w:tr>
      <w:tr w:rsidR="0018274C" w:rsidRPr="00ED6748" w14:paraId="1E1D2BC3" w14:textId="77777777" w:rsidTr="009113D8">
        <w:tc>
          <w:tcPr>
            <w:tcW w:w="527" w:type="pct"/>
            <w:vAlign w:val="center"/>
          </w:tcPr>
          <w:p w14:paraId="320CA390" w14:textId="7057CFE6"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9</w:t>
            </w:r>
          </w:p>
        </w:tc>
        <w:tc>
          <w:tcPr>
            <w:tcW w:w="821" w:type="pct"/>
          </w:tcPr>
          <w:p w14:paraId="29EBAA79" w14:textId="249C0FF7"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Influence of Fan Identification on Decision Processing</w:t>
            </w:r>
          </w:p>
        </w:tc>
        <w:tc>
          <w:tcPr>
            <w:tcW w:w="2692" w:type="pct"/>
          </w:tcPr>
          <w:p w14:paraId="1181A9F4"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Campo, M., Mackie, D. M., &amp; Sanchez, X. (2019). Emotions in group sports: A narrative review from a social identity perspective. </w:t>
            </w:r>
            <w:r w:rsidRPr="009113D8">
              <w:rPr>
                <w:rFonts w:asciiTheme="majorHAnsi" w:eastAsia="Arial Unicode MS" w:hAnsiTheme="majorHAnsi"/>
                <w:bCs/>
                <w:i/>
                <w:iCs/>
              </w:rPr>
              <w:t>Frontiers in Psychology, 10</w:t>
            </w:r>
            <w:r w:rsidRPr="009113D8">
              <w:rPr>
                <w:rFonts w:asciiTheme="majorHAnsi" w:eastAsia="Arial Unicode MS" w:hAnsiTheme="majorHAnsi"/>
                <w:bCs/>
                <w:iCs/>
              </w:rPr>
              <w:t>, 666.</w:t>
            </w:r>
          </w:p>
          <w:p w14:paraId="3661A333"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Chang, Y., Wann, D. L., &amp; Inoue, Y. (2018). The effects of implicit team identification on revisit and word-of-mouth intentions: A moderated mediation of emotions and flow. </w:t>
            </w:r>
            <w:r w:rsidRPr="009113D8">
              <w:rPr>
                <w:rFonts w:asciiTheme="majorHAnsi" w:eastAsia="Arial Unicode MS" w:hAnsiTheme="majorHAnsi"/>
                <w:bCs/>
                <w:i/>
                <w:iCs/>
              </w:rPr>
              <w:t>Journal of Sport Management, 32</w:t>
            </w:r>
            <w:r w:rsidRPr="009113D8">
              <w:rPr>
                <w:rFonts w:asciiTheme="majorHAnsi" w:eastAsia="Arial Unicode MS" w:hAnsiTheme="majorHAnsi"/>
                <w:bCs/>
                <w:iCs/>
              </w:rPr>
              <w:t>, 334-347.</w:t>
            </w:r>
          </w:p>
          <w:p w14:paraId="50F7B1A8" w14:textId="4837FC0A" w:rsidR="00A07BE7"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Heere, B., &amp; James, J. D. (2007). Stepping outside the lines: Developing a multi-dimensional team identity scale based on social identity theory. </w:t>
            </w:r>
            <w:r w:rsidRPr="009113D8">
              <w:rPr>
                <w:rFonts w:asciiTheme="majorHAnsi" w:eastAsia="Arial Unicode MS" w:hAnsiTheme="majorHAnsi"/>
                <w:bCs/>
                <w:i/>
                <w:iCs/>
              </w:rPr>
              <w:t>Sport Management Review</w:t>
            </w:r>
            <w:r w:rsidRPr="009113D8">
              <w:rPr>
                <w:rFonts w:asciiTheme="majorHAnsi" w:eastAsia="Arial Unicode MS" w:hAnsiTheme="majorHAnsi"/>
                <w:bCs/>
                <w:iCs/>
              </w:rPr>
              <w:t>, </w:t>
            </w:r>
            <w:r w:rsidRPr="009113D8">
              <w:rPr>
                <w:rFonts w:asciiTheme="majorHAnsi" w:eastAsia="Arial Unicode MS" w:hAnsiTheme="majorHAnsi"/>
                <w:bCs/>
                <w:i/>
                <w:iCs/>
              </w:rPr>
              <w:t>10</w:t>
            </w:r>
            <w:r w:rsidRPr="009113D8">
              <w:rPr>
                <w:rFonts w:asciiTheme="majorHAnsi" w:eastAsia="Arial Unicode MS" w:hAnsiTheme="majorHAnsi"/>
                <w:bCs/>
                <w:iCs/>
              </w:rPr>
              <w:t>(1), 65-91.</w:t>
            </w:r>
          </w:p>
        </w:tc>
        <w:tc>
          <w:tcPr>
            <w:tcW w:w="960" w:type="pct"/>
          </w:tcPr>
          <w:p w14:paraId="496761BB"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03E9459A" w14:textId="77777777" w:rsidTr="009113D8">
        <w:tc>
          <w:tcPr>
            <w:tcW w:w="527" w:type="pct"/>
            <w:vAlign w:val="center"/>
          </w:tcPr>
          <w:p w14:paraId="60248FBC" w14:textId="73CFAD27"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 xml:space="preserve">Week </w:t>
            </w:r>
            <w:r w:rsidR="00A07BE7" w:rsidRPr="00ED6748">
              <w:rPr>
                <w:rFonts w:asciiTheme="majorHAnsi" w:hAnsiTheme="majorHAnsi" w:cstheme="minorHAnsi"/>
                <w:bCs/>
                <w:color w:val="17365D" w:themeColor="text2" w:themeShade="BF"/>
              </w:rPr>
              <w:t>10</w:t>
            </w:r>
          </w:p>
        </w:tc>
        <w:tc>
          <w:tcPr>
            <w:tcW w:w="821" w:type="pct"/>
          </w:tcPr>
          <w:p w14:paraId="75AB0C77" w14:textId="1DF39FFA"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Sport Consumer Emotions and Social Media Behavior</w:t>
            </w:r>
          </w:p>
        </w:tc>
        <w:tc>
          <w:tcPr>
            <w:tcW w:w="2692" w:type="pct"/>
          </w:tcPr>
          <w:p w14:paraId="45332172"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Chang, Y. (2019). Spectators’ emotional responses in tweets during the Super Bowl 50 game. </w:t>
            </w:r>
            <w:r w:rsidRPr="009113D8">
              <w:rPr>
                <w:rFonts w:asciiTheme="majorHAnsi" w:eastAsia="Arial Unicode MS" w:hAnsiTheme="majorHAnsi"/>
                <w:i/>
                <w:iCs/>
              </w:rPr>
              <w:t>Sport Management Review</w:t>
            </w:r>
            <w:r w:rsidRPr="009113D8">
              <w:rPr>
                <w:rFonts w:asciiTheme="majorHAnsi" w:eastAsia="Arial Unicode MS" w:hAnsiTheme="majorHAnsi"/>
                <w:iCs/>
              </w:rPr>
              <w:t>, 22, 348-362.</w:t>
            </w:r>
          </w:p>
          <w:p w14:paraId="5596E2F7"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Larsen, J. T., McGraw, A. P., &amp; Cacioppo, J. T. (2001). Can people feel happy and sad at the same time? </w:t>
            </w:r>
            <w:r w:rsidRPr="009113D8">
              <w:rPr>
                <w:rFonts w:asciiTheme="majorHAnsi" w:eastAsia="Arial Unicode MS" w:hAnsiTheme="majorHAnsi"/>
                <w:i/>
                <w:iCs/>
              </w:rPr>
              <w:t>Journal of Personality and Social Psychology</w:t>
            </w:r>
            <w:r w:rsidRPr="009113D8">
              <w:rPr>
                <w:rFonts w:asciiTheme="majorHAnsi" w:eastAsia="Arial Unicode MS" w:hAnsiTheme="majorHAnsi"/>
                <w:iCs/>
              </w:rPr>
              <w:t xml:space="preserve">, </w:t>
            </w:r>
            <w:r w:rsidRPr="009113D8">
              <w:rPr>
                <w:rFonts w:asciiTheme="majorHAnsi" w:eastAsia="Arial Unicode MS" w:hAnsiTheme="majorHAnsi"/>
                <w:i/>
                <w:iCs/>
              </w:rPr>
              <w:t xml:space="preserve">81, </w:t>
            </w:r>
            <w:r w:rsidRPr="009113D8">
              <w:rPr>
                <w:rFonts w:asciiTheme="majorHAnsi" w:eastAsia="Arial Unicode MS" w:hAnsiTheme="majorHAnsi"/>
                <w:iCs/>
              </w:rPr>
              <w:t>684-696.</w:t>
            </w:r>
          </w:p>
          <w:p w14:paraId="188DF254" w14:textId="77777777" w:rsidR="009113D8"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Lee, S., Kim, Y., &amp; Heere, B. (2018). Sport team emotion: Conceptualization, scale development and validation. </w:t>
            </w:r>
            <w:r w:rsidRPr="009113D8">
              <w:rPr>
                <w:rFonts w:asciiTheme="majorHAnsi" w:eastAsia="Arial Unicode MS" w:hAnsiTheme="majorHAnsi"/>
                <w:i/>
                <w:iCs/>
              </w:rPr>
              <w:t>Sport Management Review, 21</w:t>
            </w:r>
            <w:r w:rsidRPr="009113D8">
              <w:rPr>
                <w:rFonts w:asciiTheme="majorHAnsi" w:eastAsia="Arial Unicode MS" w:hAnsiTheme="majorHAnsi"/>
                <w:iCs/>
              </w:rPr>
              <w:t>, 363-376.</w:t>
            </w:r>
          </w:p>
          <w:p w14:paraId="3E0A2405" w14:textId="661C4710" w:rsidR="00A07BE7" w:rsidRPr="009113D8" w:rsidRDefault="009113D8" w:rsidP="009113D8">
            <w:pPr>
              <w:ind w:left="720" w:hanging="720"/>
              <w:rPr>
                <w:rFonts w:asciiTheme="majorHAnsi" w:eastAsia="Arial Unicode MS" w:hAnsiTheme="majorHAnsi"/>
                <w:iCs/>
              </w:rPr>
            </w:pPr>
            <w:r w:rsidRPr="009113D8">
              <w:rPr>
                <w:rFonts w:asciiTheme="majorHAnsi" w:eastAsia="Arial Unicode MS" w:hAnsiTheme="majorHAnsi"/>
                <w:iCs/>
              </w:rPr>
              <w:t xml:space="preserve">Wilson &amp; Gilbert (2005). Affective forecasting: Knowing what to want. </w:t>
            </w:r>
            <w:r w:rsidRPr="009113D8">
              <w:rPr>
                <w:rFonts w:asciiTheme="majorHAnsi" w:eastAsia="Arial Unicode MS" w:hAnsiTheme="majorHAnsi"/>
                <w:i/>
              </w:rPr>
              <w:t>Current Directions in Psychological Science, 14</w:t>
            </w:r>
            <w:r w:rsidRPr="009113D8">
              <w:rPr>
                <w:rFonts w:asciiTheme="majorHAnsi" w:eastAsia="Arial Unicode MS" w:hAnsiTheme="majorHAnsi"/>
                <w:iCs/>
              </w:rPr>
              <w:t>, 131-134.</w:t>
            </w:r>
          </w:p>
        </w:tc>
        <w:tc>
          <w:tcPr>
            <w:tcW w:w="960" w:type="pct"/>
          </w:tcPr>
          <w:p w14:paraId="2614B826"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23D1952A" w14:textId="77777777" w:rsidTr="009113D8">
        <w:tc>
          <w:tcPr>
            <w:tcW w:w="527" w:type="pct"/>
            <w:vAlign w:val="center"/>
          </w:tcPr>
          <w:p w14:paraId="271FD67A" w14:textId="0132A217"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11</w:t>
            </w:r>
          </w:p>
        </w:tc>
        <w:tc>
          <w:tcPr>
            <w:tcW w:w="821" w:type="pct"/>
          </w:tcPr>
          <w:p w14:paraId="0B73BC46" w14:textId="3A044AB1"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Sport Consumer Well-being and Happiness</w:t>
            </w:r>
          </w:p>
        </w:tc>
        <w:tc>
          <w:tcPr>
            <w:tcW w:w="2692" w:type="pct"/>
          </w:tcPr>
          <w:p w14:paraId="0F8B66E2"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Chang, Y., &amp; Inoue, Y. (2021). Spectator emotions in predicting psychological vigor: Emotional meta experience and affect valuation perspectives. </w:t>
            </w:r>
            <w:r w:rsidRPr="009113D8">
              <w:rPr>
                <w:rFonts w:asciiTheme="majorHAnsi" w:eastAsia="Arial Unicode MS" w:hAnsiTheme="majorHAnsi"/>
                <w:bCs/>
                <w:i/>
                <w:iCs/>
              </w:rPr>
              <w:t>Sport Management Review</w:t>
            </w:r>
            <w:r w:rsidRPr="009113D8">
              <w:rPr>
                <w:rFonts w:asciiTheme="majorHAnsi" w:eastAsia="Arial Unicode MS" w:hAnsiTheme="majorHAnsi"/>
                <w:bCs/>
                <w:iCs/>
              </w:rPr>
              <w:t>.</w:t>
            </w:r>
          </w:p>
          <w:p w14:paraId="71F6A5F2" w14:textId="77777777" w:rsidR="009113D8" w:rsidRPr="009113D8" w:rsidRDefault="009113D8" w:rsidP="009113D8">
            <w:pPr>
              <w:ind w:left="720" w:hanging="720"/>
              <w:rPr>
                <w:rFonts w:asciiTheme="majorHAnsi" w:eastAsia="Arial Unicode MS" w:hAnsiTheme="majorHAnsi"/>
                <w:bCs/>
                <w:iCs/>
                <w:lang w:val="en-GB"/>
              </w:rPr>
            </w:pPr>
            <w:r w:rsidRPr="009113D8">
              <w:rPr>
                <w:rFonts w:asciiTheme="majorHAnsi" w:eastAsia="Arial Unicode MS" w:hAnsiTheme="majorHAnsi"/>
                <w:bCs/>
                <w:iCs/>
                <w:lang w:val="en-GB"/>
              </w:rPr>
              <w:t xml:space="preserve">Inoue, Y., Sato, M., &amp; Filo, K. (2020). Transformative sport service research: Linking sport services </w:t>
            </w:r>
            <w:r w:rsidRPr="009113D8">
              <w:rPr>
                <w:rFonts w:asciiTheme="majorHAnsi" w:eastAsia="Arial Unicode MS" w:hAnsiTheme="majorHAnsi"/>
                <w:bCs/>
                <w:iCs/>
                <w:lang w:val="en-GB"/>
              </w:rPr>
              <w:lastRenderedPageBreak/>
              <w:t xml:space="preserve">with well-being. </w:t>
            </w:r>
            <w:r w:rsidRPr="009113D8">
              <w:rPr>
                <w:rFonts w:asciiTheme="majorHAnsi" w:eastAsia="Arial Unicode MS" w:hAnsiTheme="majorHAnsi"/>
                <w:bCs/>
                <w:i/>
                <w:iCs/>
                <w:lang w:val="en-GB"/>
              </w:rPr>
              <w:t>Journal of Sport Management</w:t>
            </w:r>
            <w:r w:rsidRPr="009113D8">
              <w:rPr>
                <w:rFonts w:asciiTheme="majorHAnsi" w:eastAsia="Arial Unicode MS" w:hAnsiTheme="majorHAnsi"/>
                <w:bCs/>
                <w:iCs/>
                <w:lang w:val="en-GB"/>
              </w:rPr>
              <w:t xml:space="preserve">, </w:t>
            </w:r>
            <w:r w:rsidRPr="009113D8">
              <w:rPr>
                <w:rFonts w:asciiTheme="majorHAnsi" w:eastAsia="Arial Unicode MS" w:hAnsiTheme="majorHAnsi"/>
                <w:bCs/>
                <w:i/>
                <w:iCs/>
                <w:lang w:val="en-GB"/>
              </w:rPr>
              <w:t>34</w:t>
            </w:r>
            <w:r w:rsidRPr="009113D8">
              <w:rPr>
                <w:rFonts w:asciiTheme="majorHAnsi" w:eastAsia="Arial Unicode MS" w:hAnsiTheme="majorHAnsi"/>
                <w:bCs/>
                <w:iCs/>
                <w:lang w:val="en-GB"/>
              </w:rPr>
              <w:t>, 285-290.</w:t>
            </w:r>
          </w:p>
          <w:p w14:paraId="720A7483" w14:textId="478655FA" w:rsidR="00A07BE7"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 xml:space="preserve">Mandel, N., &amp; </w:t>
            </w:r>
            <w:proofErr w:type="spellStart"/>
            <w:r w:rsidRPr="009113D8">
              <w:rPr>
                <w:rFonts w:asciiTheme="majorHAnsi" w:eastAsia="Arial Unicode MS" w:hAnsiTheme="majorHAnsi"/>
                <w:bCs/>
                <w:iCs/>
              </w:rPr>
              <w:t>Nowlis</w:t>
            </w:r>
            <w:proofErr w:type="spellEnd"/>
            <w:r w:rsidRPr="009113D8">
              <w:rPr>
                <w:rFonts w:asciiTheme="majorHAnsi" w:eastAsia="Arial Unicode MS" w:hAnsiTheme="majorHAnsi"/>
                <w:bCs/>
                <w:iCs/>
              </w:rPr>
              <w:t xml:space="preserve">, S. M. (2008). The effect of making a prediction about the outcome of a consumption experience on the enjoyment of that experience. </w:t>
            </w:r>
            <w:r w:rsidRPr="009113D8">
              <w:rPr>
                <w:rFonts w:asciiTheme="majorHAnsi" w:eastAsia="Arial Unicode MS" w:hAnsiTheme="majorHAnsi"/>
                <w:bCs/>
                <w:i/>
                <w:iCs/>
              </w:rPr>
              <w:t>Journal of Consumer Research</w:t>
            </w:r>
            <w:r w:rsidRPr="009113D8">
              <w:rPr>
                <w:rFonts w:asciiTheme="majorHAnsi" w:eastAsia="Arial Unicode MS" w:hAnsiTheme="majorHAnsi"/>
                <w:bCs/>
                <w:iCs/>
              </w:rPr>
              <w:t>, 35, 9-20.</w:t>
            </w:r>
          </w:p>
        </w:tc>
        <w:tc>
          <w:tcPr>
            <w:tcW w:w="960" w:type="pct"/>
          </w:tcPr>
          <w:p w14:paraId="1624B071" w14:textId="77777777" w:rsidR="00A07BE7" w:rsidRPr="00ED6748" w:rsidRDefault="00A07BE7" w:rsidP="00A07BE7">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lastRenderedPageBreak/>
              <w:t xml:space="preserve">Weekly article reflections </w:t>
            </w:r>
          </w:p>
          <w:p w14:paraId="1891936E" w14:textId="77777777" w:rsidR="00A07BE7" w:rsidRPr="00ED6748" w:rsidRDefault="00A07BE7" w:rsidP="00A07BE7">
            <w:pPr>
              <w:rPr>
                <w:color w:val="17365D" w:themeColor="text2" w:themeShade="BF"/>
              </w:rPr>
            </w:pPr>
            <w:r w:rsidRPr="00ED6748">
              <w:rPr>
                <w:rFonts w:asciiTheme="majorHAnsi" w:hAnsiTheme="majorHAnsi" w:cstheme="minorHAnsi"/>
                <w:b/>
                <w:bCs/>
                <w:i/>
                <w:color w:val="17365D" w:themeColor="text2" w:themeShade="BF"/>
              </w:rPr>
              <w:t>Meet with advisor</w:t>
            </w:r>
          </w:p>
        </w:tc>
      </w:tr>
      <w:tr w:rsidR="0018274C" w:rsidRPr="00ED6748" w14:paraId="52340948" w14:textId="77777777" w:rsidTr="009113D8">
        <w:trPr>
          <w:trHeight w:val="137"/>
        </w:trPr>
        <w:tc>
          <w:tcPr>
            <w:tcW w:w="527" w:type="pct"/>
            <w:vAlign w:val="center"/>
          </w:tcPr>
          <w:p w14:paraId="3A543A8F" w14:textId="0E80F5A5"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12</w:t>
            </w:r>
          </w:p>
        </w:tc>
        <w:tc>
          <w:tcPr>
            <w:tcW w:w="821" w:type="pct"/>
          </w:tcPr>
          <w:p w14:paraId="4C5752AB" w14:textId="366CBC36" w:rsidR="00A07BE7" w:rsidRPr="009113D8" w:rsidRDefault="009113D8" w:rsidP="00A07BE7">
            <w:pPr>
              <w:autoSpaceDE w:val="0"/>
              <w:autoSpaceDN w:val="0"/>
              <w:adjustRightInd w:val="0"/>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Emerging Technologies and Sport Consumption Dynamics</w:t>
            </w:r>
          </w:p>
        </w:tc>
        <w:tc>
          <w:tcPr>
            <w:tcW w:w="2692" w:type="pct"/>
          </w:tcPr>
          <w:p w14:paraId="29E24B8B" w14:textId="77777777" w:rsidR="009113D8" w:rsidRPr="009113D8" w:rsidRDefault="009113D8" w:rsidP="009113D8">
            <w:pPr>
              <w:ind w:left="720" w:hanging="720"/>
              <w:rPr>
                <w:rFonts w:asciiTheme="majorHAnsi" w:eastAsia="Arial Unicode MS" w:hAnsiTheme="majorHAnsi"/>
                <w:bCs/>
                <w:iCs/>
              </w:rPr>
            </w:pPr>
            <w:r w:rsidRPr="009113D8">
              <w:rPr>
                <w:rFonts w:asciiTheme="majorHAnsi" w:eastAsia="Arial Unicode MS" w:hAnsiTheme="majorHAnsi"/>
                <w:bCs/>
                <w:iCs/>
              </w:rPr>
              <w:t>Chang, Y., &amp; Han, G. (2021). Entertainment technology and emotion dynamics.</w:t>
            </w:r>
          </w:p>
          <w:p w14:paraId="6978E88A" w14:textId="77777777" w:rsidR="009113D8" w:rsidRPr="009113D8" w:rsidRDefault="009113D8" w:rsidP="009113D8">
            <w:pPr>
              <w:widowControl w:val="0"/>
              <w:autoSpaceDE w:val="0"/>
              <w:autoSpaceDN w:val="0"/>
              <w:adjustRightInd w:val="0"/>
              <w:ind w:left="540" w:hanging="540"/>
              <w:rPr>
                <w:rFonts w:asciiTheme="majorHAnsi" w:hAnsiTheme="majorHAnsi"/>
                <w:bCs/>
                <w:color w:val="000000" w:themeColor="text1"/>
              </w:rPr>
            </w:pPr>
            <w:r w:rsidRPr="009113D8">
              <w:rPr>
                <w:rFonts w:asciiTheme="majorHAnsi" w:hAnsiTheme="majorHAnsi"/>
                <w:bCs/>
                <w:color w:val="000000" w:themeColor="text1"/>
              </w:rPr>
              <w:t xml:space="preserve">Uhm, J., Lee, H., &amp; Han, J. (2020). Creating sense of presence in a virtual reality experience: Impact on neurophysiological arousal and attitude towards a winter sport. </w:t>
            </w:r>
            <w:r w:rsidRPr="009113D8">
              <w:rPr>
                <w:rFonts w:asciiTheme="majorHAnsi" w:hAnsiTheme="majorHAnsi"/>
                <w:bCs/>
                <w:i/>
                <w:iCs/>
                <w:color w:val="000000" w:themeColor="text1"/>
              </w:rPr>
              <w:t>Sport Management Review, 23</w:t>
            </w:r>
            <w:r w:rsidRPr="009113D8">
              <w:rPr>
                <w:rFonts w:asciiTheme="majorHAnsi" w:hAnsiTheme="majorHAnsi"/>
                <w:bCs/>
                <w:color w:val="000000" w:themeColor="text1"/>
              </w:rPr>
              <w:t>, 588-600.</w:t>
            </w:r>
          </w:p>
          <w:p w14:paraId="5E7DD630" w14:textId="77777777" w:rsidR="009113D8" w:rsidRPr="009113D8" w:rsidRDefault="009113D8" w:rsidP="009113D8">
            <w:pPr>
              <w:widowControl w:val="0"/>
              <w:autoSpaceDE w:val="0"/>
              <w:autoSpaceDN w:val="0"/>
              <w:adjustRightInd w:val="0"/>
              <w:ind w:left="540" w:hanging="540"/>
              <w:rPr>
                <w:rFonts w:asciiTheme="majorHAnsi" w:hAnsiTheme="majorHAnsi"/>
                <w:bCs/>
                <w:color w:val="000000" w:themeColor="text1"/>
              </w:rPr>
            </w:pPr>
            <w:r w:rsidRPr="009113D8">
              <w:rPr>
                <w:rFonts w:asciiTheme="majorHAnsi" w:hAnsiTheme="majorHAnsi"/>
                <w:bCs/>
                <w:color w:val="000000" w:themeColor="text1"/>
              </w:rPr>
              <w:t>Weech, S., Kenny, S., &amp; Barnett-Cowan, M. (2019). Presence and cybersickness in virtual reality are negatively related: A review. </w:t>
            </w:r>
            <w:r w:rsidRPr="009113D8">
              <w:rPr>
                <w:rFonts w:asciiTheme="majorHAnsi" w:hAnsiTheme="majorHAnsi"/>
                <w:bCs/>
                <w:i/>
                <w:iCs/>
                <w:color w:val="000000" w:themeColor="text1"/>
              </w:rPr>
              <w:t>Frontiers in Psychology</w:t>
            </w:r>
            <w:r w:rsidRPr="009113D8">
              <w:rPr>
                <w:rFonts w:asciiTheme="majorHAnsi" w:hAnsiTheme="majorHAnsi"/>
                <w:bCs/>
                <w:color w:val="000000" w:themeColor="text1"/>
              </w:rPr>
              <w:t>, </w:t>
            </w:r>
            <w:r w:rsidRPr="009113D8">
              <w:rPr>
                <w:rFonts w:asciiTheme="majorHAnsi" w:hAnsiTheme="majorHAnsi"/>
                <w:bCs/>
                <w:i/>
                <w:iCs/>
                <w:color w:val="000000" w:themeColor="text1"/>
              </w:rPr>
              <w:t>10</w:t>
            </w:r>
            <w:r w:rsidRPr="009113D8">
              <w:rPr>
                <w:rFonts w:asciiTheme="majorHAnsi" w:hAnsiTheme="majorHAnsi"/>
                <w:bCs/>
                <w:color w:val="000000" w:themeColor="text1"/>
              </w:rPr>
              <w:t>, 158.</w:t>
            </w:r>
          </w:p>
          <w:p w14:paraId="4D0B5857" w14:textId="77777777" w:rsidR="00A07BE7" w:rsidRPr="009113D8" w:rsidRDefault="00A07BE7" w:rsidP="00A07BE7">
            <w:pPr>
              <w:autoSpaceDE w:val="0"/>
              <w:autoSpaceDN w:val="0"/>
              <w:adjustRightInd w:val="0"/>
              <w:ind w:left="360"/>
              <w:rPr>
                <w:rFonts w:asciiTheme="majorHAnsi" w:hAnsiTheme="majorHAnsi" w:cstheme="minorHAnsi"/>
                <w:bCs/>
                <w:color w:val="17365D" w:themeColor="text2" w:themeShade="BF"/>
              </w:rPr>
            </w:pPr>
          </w:p>
        </w:tc>
        <w:tc>
          <w:tcPr>
            <w:tcW w:w="960" w:type="pct"/>
          </w:tcPr>
          <w:p w14:paraId="4748E2DD"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18274C" w:rsidRPr="00ED6748" w14:paraId="30B23B25" w14:textId="77777777" w:rsidTr="009113D8">
        <w:tc>
          <w:tcPr>
            <w:tcW w:w="527" w:type="pct"/>
            <w:vAlign w:val="center"/>
          </w:tcPr>
          <w:p w14:paraId="3154F68F" w14:textId="045C71A5"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13</w:t>
            </w:r>
          </w:p>
        </w:tc>
        <w:tc>
          <w:tcPr>
            <w:tcW w:w="821" w:type="pct"/>
            <w:vAlign w:val="center"/>
          </w:tcPr>
          <w:p w14:paraId="238398E7" w14:textId="25B14CDE" w:rsidR="00A07BE7" w:rsidRPr="009113D8" w:rsidRDefault="009113D8" w:rsidP="009113D8">
            <w:pPr>
              <w:autoSpaceDE w:val="0"/>
              <w:autoSpaceDN w:val="0"/>
              <w:adjustRightInd w:val="0"/>
              <w:jc w:val="center"/>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_</w:t>
            </w:r>
          </w:p>
        </w:tc>
        <w:tc>
          <w:tcPr>
            <w:tcW w:w="2692" w:type="pct"/>
            <w:vAlign w:val="center"/>
          </w:tcPr>
          <w:p w14:paraId="0A8D9E4D" w14:textId="296B385E" w:rsidR="00A07BE7" w:rsidRPr="009113D8" w:rsidRDefault="009113D8" w:rsidP="009113D8">
            <w:pPr>
              <w:autoSpaceDE w:val="0"/>
              <w:autoSpaceDN w:val="0"/>
              <w:adjustRightInd w:val="0"/>
              <w:jc w:val="center"/>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_</w:t>
            </w:r>
          </w:p>
        </w:tc>
        <w:tc>
          <w:tcPr>
            <w:tcW w:w="960" w:type="pct"/>
          </w:tcPr>
          <w:p w14:paraId="75FEB547" w14:textId="77777777" w:rsidR="00A07BE7" w:rsidRPr="00ED6748" w:rsidRDefault="00A07BE7" w:rsidP="00A07BE7">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477D65AB" w14:textId="77777777" w:rsidR="00A07BE7" w:rsidRPr="00ED6748" w:rsidRDefault="00A07BE7" w:rsidP="00A07BE7">
            <w:pPr>
              <w:rPr>
                <w:color w:val="17365D" w:themeColor="text2" w:themeShade="BF"/>
              </w:rPr>
            </w:pPr>
            <w:r w:rsidRPr="00ED6748">
              <w:rPr>
                <w:rFonts w:asciiTheme="majorHAnsi" w:hAnsiTheme="majorHAnsi" w:cstheme="minorHAnsi"/>
                <w:b/>
                <w:bCs/>
                <w:i/>
                <w:color w:val="17365D" w:themeColor="text2" w:themeShade="BF"/>
              </w:rPr>
              <w:t>Meet with advisor</w:t>
            </w:r>
          </w:p>
        </w:tc>
      </w:tr>
      <w:tr w:rsidR="00A07BE7" w:rsidRPr="00ED6748" w14:paraId="0956ED8B" w14:textId="77777777" w:rsidTr="009113D8">
        <w:tc>
          <w:tcPr>
            <w:tcW w:w="527" w:type="pct"/>
            <w:vAlign w:val="center"/>
          </w:tcPr>
          <w:p w14:paraId="4093D51B" w14:textId="6980767B"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14</w:t>
            </w:r>
          </w:p>
        </w:tc>
        <w:tc>
          <w:tcPr>
            <w:tcW w:w="821" w:type="pct"/>
            <w:vAlign w:val="center"/>
          </w:tcPr>
          <w:p w14:paraId="02633E69" w14:textId="64D6F63C" w:rsidR="00A07BE7" w:rsidRPr="009113D8" w:rsidRDefault="009113D8" w:rsidP="009113D8">
            <w:pPr>
              <w:autoSpaceDE w:val="0"/>
              <w:autoSpaceDN w:val="0"/>
              <w:adjustRightInd w:val="0"/>
              <w:jc w:val="center"/>
              <w:rPr>
                <w:rFonts w:asciiTheme="majorHAnsi" w:hAnsiTheme="majorHAnsi" w:cstheme="minorHAnsi"/>
                <w:bCs/>
                <w:color w:val="17365D" w:themeColor="text2" w:themeShade="BF"/>
              </w:rPr>
            </w:pPr>
            <w:r w:rsidRPr="009113D8">
              <w:rPr>
                <w:rFonts w:asciiTheme="majorHAnsi" w:hAnsiTheme="majorHAnsi" w:cstheme="minorHAnsi"/>
                <w:bCs/>
                <w:color w:val="17365D" w:themeColor="text2" w:themeShade="BF"/>
              </w:rPr>
              <w:t>_</w:t>
            </w:r>
          </w:p>
        </w:tc>
        <w:tc>
          <w:tcPr>
            <w:tcW w:w="2692" w:type="pct"/>
            <w:vAlign w:val="center"/>
          </w:tcPr>
          <w:p w14:paraId="345DEE34" w14:textId="115E3AE1" w:rsidR="00A07BE7" w:rsidRPr="009113D8" w:rsidRDefault="009113D8" w:rsidP="009113D8">
            <w:pPr>
              <w:autoSpaceDE w:val="0"/>
              <w:autoSpaceDN w:val="0"/>
              <w:adjustRightInd w:val="0"/>
              <w:jc w:val="center"/>
              <w:rPr>
                <w:rFonts w:asciiTheme="majorHAnsi" w:hAnsiTheme="majorHAnsi" w:cstheme="minorHAnsi"/>
                <w:b/>
                <w:bCs/>
                <w:color w:val="17365D" w:themeColor="text2" w:themeShade="BF"/>
              </w:rPr>
            </w:pPr>
            <w:r w:rsidRPr="009113D8">
              <w:rPr>
                <w:rFonts w:asciiTheme="majorHAnsi" w:hAnsiTheme="majorHAnsi" w:cstheme="minorHAnsi"/>
                <w:b/>
                <w:bCs/>
                <w:color w:val="17365D" w:themeColor="text2" w:themeShade="BF"/>
              </w:rPr>
              <w:t>_</w:t>
            </w:r>
          </w:p>
        </w:tc>
        <w:tc>
          <w:tcPr>
            <w:tcW w:w="960" w:type="pct"/>
          </w:tcPr>
          <w:p w14:paraId="1288133E" w14:textId="77777777" w:rsidR="00A07BE7" w:rsidRPr="00ED6748" w:rsidRDefault="00A07BE7" w:rsidP="00301205">
            <w:pPr>
              <w:autoSpaceDE w:val="0"/>
              <w:autoSpaceDN w:val="0"/>
              <w:adjustRightInd w:val="0"/>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Research proposal paper</w:t>
            </w:r>
          </w:p>
        </w:tc>
      </w:tr>
      <w:tr w:rsidR="0018274C" w:rsidRPr="00ED6748" w14:paraId="3683C157" w14:textId="77777777" w:rsidTr="009113D8">
        <w:tc>
          <w:tcPr>
            <w:tcW w:w="527" w:type="pct"/>
            <w:vAlign w:val="center"/>
          </w:tcPr>
          <w:p w14:paraId="66E3B3ED" w14:textId="004E4356" w:rsidR="004132F2"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15</w:t>
            </w:r>
          </w:p>
        </w:tc>
        <w:tc>
          <w:tcPr>
            <w:tcW w:w="821" w:type="pct"/>
            <w:vAlign w:val="center"/>
          </w:tcPr>
          <w:p w14:paraId="487A8169" w14:textId="5A5AB4CD" w:rsidR="00301205" w:rsidRPr="00ED6748" w:rsidRDefault="009113D8" w:rsidP="009113D8">
            <w:pPr>
              <w:autoSpaceDE w:val="0"/>
              <w:autoSpaceDN w:val="0"/>
              <w:adjustRightInd w:val="0"/>
              <w:jc w:val="center"/>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_</w:t>
            </w:r>
          </w:p>
        </w:tc>
        <w:tc>
          <w:tcPr>
            <w:tcW w:w="2692" w:type="pct"/>
            <w:vAlign w:val="center"/>
          </w:tcPr>
          <w:p w14:paraId="1EC36BB8" w14:textId="670588B7" w:rsidR="00301205" w:rsidRPr="009113D8" w:rsidRDefault="009113D8" w:rsidP="009113D8">
            <w:pPr>
              <w:autoSpaceDE w:val="0"/>
              <w:autoSpaceDN w:val="0"/>
              <w:adjustRightInd w:val="0"/>
              <w:jc w:val="center"/>
              <w:rPr>
                <w:rFonts w:asciiTheme="majorHAnsi" w:hAnsiTheme="majorHAnsi" w:cstheme="minorHAnsi"/>
                <w:b/>
                <w:bCs/>
                <w:color w:val="17365D" w:themeColor="text2" w:themeShade="BF"/>
                <w:sz w:val="22"/>
                <w:szCs w:val="22"/>
              </w:rPr>
            </w:pPr>
            <w:r w:rsidRPr="009113D8">
              <w:rPr>
                <w:rFonts w:asciiTheme="majorHAnsi" w:hAnsiTheme="majorHAnsi" w:cstheme="minorHAnsi"/>
                <w:b/>
                <w:bCs/>
                <w:color w:val="17365D" w:themeColor="text2" w:themeShade="BF"/>
                <w:sz w:val="22"/>
                <w:szCs w:val="22"/>
              </w:rPr>
              <w:t>_</w:t>
            </w:r>
          </w:p>
        </w:tc>
        <w:tc>
          <w:tcPr>
            <w:tcW w:w="960" w:type="pct"/>
          </w:tcPr>
          <w:p w14:paraId="4A082BC3" w14:textId="77777777" w:rsidR="00301205" w:rsidRPr="00ED6748" w:rsidRDefault="00A07BE7" w:rsidP="00301205">
            <w:pPr>
              <w:autoSpaceDE w:val="0"/>
              <w:autoSpaceDN w:val="0"/>
              <w:adjustRightInd w:val="0"/>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Research presentation paper</w:t>
            </w:r>
          </w:p>
        </w:tc>
      </w:tr>
    </w:tbl>
    <w:p w14:paraId="779CF6DA" w14:textId="77777777" w:rsidR="00FE19B7" w:rsidRPr="004D0FDE" w:rsidRDefault="00FE19B7" w:rsidP="00FE19B7">
      <w:pPr>
        <w:rPr>
          <w:rFonts w:asciiTheme="majorHAnsi" w:eastAsia="Times New Roman" w:hAnsiTheme="majorHAnsi" w:cstheme="minorHAnsi"/>
          <w:b/>
          <w:sz w:val="20"/>
          <w:szCs w:val="20"/>
        </w:rPr>
      </w:pPr>
    </w:p>
    <w:p w14:paraId="5BB6F7A3" w14:textId="77777777" w:rsidR="00EB77FA" w:rsidRPr="00555890" w:rsidRDefault="00EB77FA" w:rsidP="00E465AE">
      <w:pPr>
        <w:pStyle w:val="Heading2"/>
        <w:rPr>
          <w:rFonts w:eastAsia="Times New Roman"/>
          <w:color w:val="auto"/>
          <w:sz w:val="20"/>
          <w:szCs w:val="20"/>
        </w:rPr>
      </w:pPr>
      <w:r w:rsidRPr="00555890">
        <w:rPr>
          <w:rFonts w:eastAsia="Batang"/>
          <w:color w:val="auto"/>
        </w:rPr>
        <w:t>Statement of University’s Honesty Policy (use of copyrighted materials and unethical exam behaviors)</w:t>
      </w:r>
    </w:p>
    <w:p w14:paraId="15471E88" w14:textId="77777777" w:rsidR="00EB77FA" w:rsidRPr="004D0FDE" w:rsidRDefault="008175B0" w:rsidP="00EB77FA">
      <w:pPr>
        <w:overflowPunct w:val="0"/>
        <w:autoSpaceDE w:val="0"/>
        <w:autoSpaceDN w:val="0"/>
        <w:adjustRightInd w:val="0"/>
        <w:spacing w:after="0" w:line="240" w:lineRule="auto"/>
        <w:textAlignment w:val="baseline"/>
        <w:rPr>
          <w:rFonts w:asciiTheme="majorHAnsi" w:eastAsia="Batang" w:hAnsiTheme="majorHAnsi" w:cstheme="minorHAnsi"/>
          <w:b/>
          <w:sz w:val="24"/>
          <w:szCs w:val="24"/>
        </w:rPr>
      </w:pPr>
      <w:r w:rsidRPr="004D0FDE">
        <w:rPr>
          <w:rFonts w:asciiTheme="majorHAnsi" w:hAnsiTheme="majorHAnsi"/>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(http://www.dso.ufl.edu/sccr/process/student-conduct-honorcode/)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in this class.</w:t>
      </w:r>
    </w:p>
    <w:p w14:paraId="646AF39D" w14:textId="77777777" w:rsidR="00EB77FA" w:rsidRPr="00555890" w:rsidRDefault="00EB77FA" w:rsidP="00EB6877">
      <w:pPr>
        <w:pStyle w:val="Heading2"/>
        <w:rPr>
          <w:rFonts w:eastAsia="Batang"/>
          <w:color w:val="auto"/>
        </w:rPr>
      </w:pPr>
      <w:r w:rsidRPr="00555890">
        <w:rPr>
          <w:rFonts w:eastAsia="Batang"/>
          <w:color w:val="auto"/>
        </w:rPr>
        <w:t>Accommodations for Students with Disabilities</w:t>
      </w:r>
    </w:p>
    <w:p w14:paraId="7610AE51" w14:textId="77777777" w:rsidR="00EB77FA" w:rsidRPr="004D0FDE" w:rsidRDefault="00EB77FA" w:rsidP="004D0FDE">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 xml:space="preserve">If you require classroom accommodation because of a disability, you must first register with the Dean of Students Office at </w:t>
      </w:r>
      <w:hyperlink r:id="rId10" w:history="1">
        <w:r w:rsidRPr="004D0FDE">
          <w:rPr>
            <w:rStyle w:val="Hyperlink"/>
            <w:rFonts w:asciiTheme="majorHAnsi" w:eastAsia="Batang" w:hAnsiTheme="majorHAnsi" w:cstheme="minorHAnsi"/>
            <w:sz w:val="24"/>
            <w:szCs w:val="20"/>
          </w:rPr>
          <w:t>http://www.dso.ufl.edu/drc/</w:t>
        </w:r>
      </w:hyperlink>
      <w:r w:rsidRPr="004D0FDE">
        <w:rPr>
          <w:rFonts w:asciiTheme="majorHAnsi" w:eastAsia="Batang" w:hAnsiTheme="majorHAnsi" w:cstheme="minorHAnsi"/>
          <w:sz w:val="24"/>
          <w:szCs w:val="20"/>
        </w:rPr>
        <w:t xml:space="preserve"> . The Dean of Students Office will provide documentation to you, which you then give to the instructor when requesting accommodation. The College is committed to providing reasonable accommodations to assist students in their coursework. If any student has a need for a </w:t>
      </w:r>
      <w:r w:rsidRPr="004D0FDE">
        <w:rPr>
          <w:rFonts w:asciiTheme="majorHAnsi" w:eastAsia="Batang" w:hAnsiTheme="majorHAnsi" w:cstheme="minorHAnsi"/>
          <w:sz w:val="24"/>
          <w:szCs w:val="20"/>
        </w:rPr>
        <w:lastRenderedPageBreak/>
        <w:t>special accommodation, please let me know within the first week of class to insure any necessary accommodations.</w:t>
      </w:r>
    </w:p>
    <w:p w14:paraId="78FC42EC" w14:textId="77777777" w:rsidR="00EB77FA" w:rsidRPr="004D0FDE" w:rsidRDefault="00EB77FA" w:rsidP="004D0FDE">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 xml:space="preserve"> </w:t>
      </w:r>
    </w:p>
    <w:p w14:paraId="5D83B62D" w14:textId="77777777" w:rsidR="00EB77FA" w:rsidRPr="00555890" w:rsidRDefault="00EB77FA" w:rsidP="00EB6877">
      <w:pPr>
        <w:pStyle w:val="Heading2"/>
        <w:rPr>
          <w:rFonts w:eastAsia="Batang"/>
          <w:color w:val="auto"/>
        </w:rPr>
      </w:pPr>
      <w:r w:rsidRPr="00555890">
        <w:rPr>
          <w:rFonts w:eastAsia="Batang"/>
          <w:color w:val="auto"/>
        </w:rPr>
        <w:t xml:space="preserve">Late assignment policy </w:t>
      </w:r>
    </w:p>
    <w:p w14:paraId="20F0CEBA" w14:textId="77777777" w:rsidR="00D0102F" w:rsidRPr="004D0FDE" w:rsidRDefault="00EB77FA" w:rsidP="00B46CDC">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Late Assignments will be accepted with a penalty of 10% per calendar day late.</w:t>
      </w:r>
    </w:p>
    <w:p w14:paraId="220A19E4" w14:textId="77777777" w:rsidR="00515B63" w:rsidRPr="00555890" w:rsidRDefault="00515B63" w:rsidP="00EB6877">
      <w:pPr>
        <w:pStyle w:val="Heading2"/>
        <w:rPr>
          <w:color w:val="auto"/>
          <w:shd w:val="clear" w:color="auto" w:fill="FFFFFF"/>
        </w:rPr>
      </w:pPr>
      <w:r w:rsidRPr="00555890">
        <w:rPr>
          <w:color w:val="auto"/>
          <w:shd w:val="clear" w:color="auto" w:fill="FFFFFF"/>
        </w:rPr>
        <w:t xml:space="preserve">Attendance policy </w:t>
      </w:r>
    </w:p>
    <w:p w14:paraId="78900954" w14:textId="77777777" w:rsidR="008175B0"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r w:rsidRPr="004D0FDE">
        <w:rPr>
          <w:rFonts w:asciiTheme="majorHAnsi" w:eastAsia="Times New Roman" w:hAnsiTheme="majorHAnsi" w:cstheme="minorHAnsi"/>
          <w:sz w:val="24"/>
          <w:szCs w:val="24"/>
        </w:rPr>
        <w:t>Requirements for class attendance and make-up exams, assignments, and other work in</w:t>
      </w:r>
    </w:p>
    <w:p w14:paraId="48C2E2FC" w14:textId="77777777" w:rsidR="008175B0"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r w:rsidRPr="004D0FDE">
        <w:rPr>
          <w:rFonts w:asciiTheme="majorHAnsi" w:eastAsia="Times New Roman" w:hAnsiTheme="majorHAnsi" w:cstheme="minorHAnsi"/>
          <w:sz w:val="24"/>
          <w:szCs w:val="24"/>
        </w:rPr>
        <w:t>this course are consistent with university policies that can be found at:</w:t>
      </w:r>
    </w:p>
    <w:p w14:paraId="778AC6F8" w14:textId="77777777" w:rsidR="00515B63"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hyperlink r:id="rId11" w:history="1">
        <w:r w:rsidRPr="004D0FDE">
          <w:rPr>
            <w:rStyle w:val="Hyperlink"/>
            <w:rFonts w:asciiTheme="majorHAnsi" w:eastAsia="Times New Roman" w:hAnsiTheme="majorHAnsi" w:cstheme="minorHAnsi"/>
            <w:sz w:val="24"/>
            <w:szCs w:val="24"/>
          </w:rPr>
          <w:t>https://catalog.ufl.edu/ugrad/current/regulations/info/attendance.aspx</w:t>
        </w:r>
      </w:hyperlink>
      <w:r w:rsidRPr="004D0FDE">
        <w:rPr>
          <w:rFonts w:asciiTheme="majorHAnsi" w:eastAsia="Times New Roman" w:hAnsiTheme="majorHAnsi" w:cstheme="minorHAnsi"/>
          <w:sz w:val="24"/>
          <w:szCs w:val="24"/>
        </w:rPr>
        <w:t xml:space="preserve"> </w:t>
      </w:r>
      <w:r w:rsidRPr="004D0FDE">
        <w:rPr>
          <w:rFonts w:asciiTheme="majorHAnsi" w:eastAsia="Times New Roman" w:hAnsiTheme="majorHAnsi" w:cstheme="minorHAnsi"/>
          <w:sz w:val="24"/>
          <w:szCs w:val="24"/>
        </w:rPr>
        <w:cr/>
      </w:r>
    </w:p>
    <w:p w14:paraId="220007BD" w14:textId="77777777" w:rsidR="00D86D12" w:rsidRPr="00555890" w:rsidRDefault="00D86D12" w:rsidP="00EB6877">
      <w:pPr>
        <w:pStyle w:val="Heading2"/>
        <w:rPr>
          <w:color w:val="auto"/>
        </w:rPr>
      </w:pPr>
      <w:r w:rsidRPr="00555890">
        <w:rPr>
          <w:color w:val="auto"/>
        </w:rPr>
        <w:t>Campus Resources</w:t>
      </w:r>
    </w:p>
    <w:p w14:paraId="7635AA02"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Health and Wellness U Matter, We Care: If you or a friend is in distress, please contact umatter@ufl.edu or 352 392- 1575 so that a team member can reach out to the student. Counseling and Wellness Center: http://www.counseling.ufl.edu/cwc/Default.aspx, 392-1575; and the University Police Department: 392-1111 or 9-1-1 for emergencies. </w:t>
      </w:r>
    </w:p>
    <w:p w14:paraId="03C81274"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D78AC35"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Sexual Assault Recovery Services (SARS) Student Health Care Center, 392-1161. </w:t>
      </w:r>
    </w:p>
    <w:p w14:paraId="09732C59"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University Police Department, 392-1111 (or 9-1-1 for emergencies). </w:t>
      </w:r>
      <w:hyperlink r:id="rId12" w:history="1">
        <w:r w:rsidRPr="004D0FDE">
          <w:rPr>
            <w:rStyle w:val="Hyperlink"/>
            <w:rFonts w:asciiTheme="majorHAnsi" w:hAnsiTheme="majorHAnsi"/>
            <w:sz w:val="24"/>
            <w:szCs w:val="24"/>
          </w:rPr>
          <w:t>http://www.police.ufl.edu/</w:t>
        </w:r>
      </w:hyperlink>
      <w:r w:rsidRPr="004D0FDE">
        <w:rPr>
          <w:rFonts w:asciiTheme="majorHAnsi" w:hAnsiTheme="majorHAnsi"/>
          <w:sz w:val="24"/>
          <w:szCs w:val="24"/>
        </w:rPr>
        <w:t xml:space="preserve"> </w:t>
      </w:r>
    </w:p>
    <w:p w14:paraId="22790390" w14:textId="77777777" w:rsidR="00D86D12" w:rsidRPr="00555890" w:rsidRDefault="00D86D12" w:rsidP="00EB6877">
      <w:pPr>
        <w:pStyle w:val="Heading2"/>
        <w:rPr>
          <w:color w:val="auto"/>
        </w:rPr>
      </w:pPr>
      <w:r w:rsidRPr="00555890">
        <w:rPr>
          <w:color w:val="auto"/>
        </w:rPr>
        <w:t xml:space="preserve">Academic Resources </w:t>
      </w:r>
    </w:p>
    <w:p w14:paraId="178A6BC1"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E-learning technical support, 352-392-4357 (select option 2) or e-mail to </w:t>
      </w:r>
      <w:hyperlink r:id="rId13" w:history="1">
        <w:r w:rsidRPr="004D0FDE">
          <w:rPr>
            <w:rStyle w:val="Hyperlink"/>
            <w:rFonts w:asciiTheme="majorHAnsi" w:hAnsiTheme="majorHAnsi"/>
            <w:sz w:val="24"/>
            <w:szCs w:val="24"/>
          </w:rPr>
          <w:t>Learningsupport@ufl.edu</w:t>
        </w:r>
      </w:hyperlink>
      <w:r w:rsidRPr="004D0FDE">
        <w:rPr>
          <w:rFonts w:asciiTheme="majorHAnsi" w:hAnsiTheme="majorHAnsi"/>
          <w:sz w:val="24"/>
          <w:szCs w:val="24"/>
        </w:rPr>
        <w:t xml:space="preserve">  </w:t>
      </w:r>
      <w:hyperlink r:id="rId14" w:history="1">
        <w:r w:rsidRPr="004D0FDE">
          <w:rPr>
            <w:rStyle w:val="Hyperlink"/>
            <w:rFonts w:asciiTheme="majorHAnsi" w:hAnsiTheme="majorHAnsi"/>
            <w:sz w:val="24"/>
            <w:szCs w:val="24"/>
          </w:rPr>
          <w:t>https://lss.at.ufl.edu/help.shtml</w:t>
        </w:r>
      </w:hyperlink>
      <w:r w:rsidRPr="004D0FDE">
        <w:rPr>
          <w:rFonts w:asciiTheme="majorHAnsi" w:hAnsiTheme="majorHAnsi"/>
          <w:sz w:val="24"/>
          <w:szCs w:val="24"/>
        </w:rPr>
        <w:t xml:space="preserve">. </w:t>
      </w:r>
    </w:p>
    <w:p w14:paraId="345486AF"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9BFAA90"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Career Resource Center, Reitz Union, 392-1601. Career assistance and counseling. </w:t>
      </w:r>
      <w:hyperlink r:id="rId15" w:history="1">
        <w:r w:rsidRPr="004D0FDE">
          <w:rPr>
            <w:rStyle w:val="Hyperlink"/>
            <w:rFonts w:asciiTheme="majorHAnsi" w:hAnsiTheme="majorHAnsi"/>
            <w:sz w:val="24"/>
            <w:szCs w:val="24"/>
          </w:rPr>
          <w:t>http://www.crc.ufl.edu/</w:t>
        </w:r>
      </w:hyperlink>
      <w:r w:rsidRPr="004D0FDE">
        <w:rPr>
          <w:rFonts w:asciiTheme="majorHAnsi" w:hAnsiTheme="majorHAnsi"/>
          <w:sz w:val="24"/>
          <w:szCs w:val="24"/>
        </w:rPr>
        <w:t xml:space="preserve">  </w:t>
      </w:r>
    </w:p>
    <w:p w14:paraId="38FF18A0"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D608273" w14:textId="77777777" w:rsidR="004E69B0"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Library Support, </w:t>
      </w:r>
      <w:hyperlink r:id="rId16" w:history="1">
        <w:r w:rsidRPr="004D0FDE">
          <w:rPr>
            <w:rStyle w:val="Hyperlink"/>
            <w:rFonts w:asciiTheme="majorHAnsi" w:hAnsiTheme="majorHAnsi"/>
            <w:sz w:val="24"/>
            <w:szCs w:val="24"/>
          </w:rPr>
          <w:t>http://cms.uflib.ufl.edu/ask</w:t>
        </w:r>
      </w:hyperlink>
      <w:r w:rsidRPr="004D0FDE">
        <w:rPr>
          <w:rFonts w:asciiTheme="majorHAnsi" w:hAnsiTheme="majorHAnsi"/>
          <w:sz w:val="24"/>
          <w:szCs w:val="24"/>
        </w:rPr>
        <w:t xml:space="preserve">  Various ways to receive assistance with respect to using the libraries or finding resources</w:t>
      </w:r>
    </w:p>
    <w:p w14:paraId="6A7944D3" w14:textId="77777777" w:rsidR="004E69B0" w:rsidRDefault="004E69B0" w:rsidP="004E69B0"/>
    <w:p w14:paraId="742225AC" w14:textId="0FF69219" w:rsidR="00307462" w:rsidRDefault="00307462" w:rsidP="00307462">
      <w:pPr>
        <w:rPr>
          <w:rFonts w:asciiTheme="majorHAnsi" w:hAnsiTheme="majorHAnsi"/>
          <w:sz w:val="24"/>
          <w:szCs w:val="24"/>
        </w:rPr>
        <w:sectPr w:rsidR="00307462" w:rsidSect="00ED6748">
          <w:footerReference w:type="default" r:id="rId17"/>
          <w:pgSz w:w="12240" w:h="15840" w:code="1"/>
          <w:pgMar w:top="1440" w:right="1440" w:bottom="1440" w:left="1440" w:header="720" w:footer="720" w:gutter="0"/>
          <w:cols w:space="720"/>
          <w:docGrid w:linePitch="299"/>
        </w:sectPr>
      </w:pPr>
    </w:p>
    <w:p w14:paraId="5D0C1C7C" w14:textId="22B3C8B9" w:rsidR="00307462" w:rsidRPr="00555890" w:rsidRDefault="00307462" w:rsidP="00F64322">
      <w:pPr>
        <w:pStyle w:val="Heading2"/>
        <w:rPr>
          <w:color w:val="auto"/>
          <w:sz w:val="8"/>
          <w:szCs w:val="8"/>
        </w:rPr>
      </w:pPr>
      <w:r w:rsidRPr="00555890">
        <w:rPr>
          <w:color w:val="auto"/>
        </w:rPr>
        <w:lastRenderedPageBreak/>
        <w:t xml:space="preserve">Rubrics used for </w:t>
      </w:r>
      <w:r w:rsidR="00F64322" w:rsidRPr="00555890">
        <w:rPr>
          <w:color w:val="auto"/>
        </w:rPr>
        <w:t xml:space="preserve">weekly </w:t>
      </w:r>
      <w:r w:rsidR="009B13CA" w:rsidRPr="00555890">
        <w:rPr>
          <w:color w:val="auto"/>
        </w:rPr>
        <w:t xml:space="preserve">reflections and </w:t>
      </w:r>
      <w:r w:rsidR="007561D6" w:rsidRPr="00555890">
        <w:rPr>
          <w:color w:val="auto"/>
        </w:rPr>
        <w:t>R</w:t>
      </w:r>
      <w:r w:rsidR="009B13CA" w:rsidRPr="00555890">
        <w:rPr>
          <w:color w:val="auto"/>
        </w:rPr>
        <w:t xml:space="preserve">esearch </w:t>
      </w:r>
      <w:r w:rsidR="007561D6" w:rsidRPr="00555890">
        <w:rPr>
          <w:color w:val="auto"/>
        </w:rPr>
        <w:t>P</w:t>
      </w:r>
      <w:r w:rsidR="009B13CA" w:rsidRPr="00555890">
        <w:rPr>
          <w:color w:val="auto"/>
        </w:rPr>
        <w:t>roposal</w:t>
      </w:r>
      <w:r w:rsidR="007561D6" w:rsidRPr="00555890">
        <w:rPr>
          <w:color w:val="auto"/>
        </w:rPr>
        <w:t>/Conceptual Paper</w:t>
      </w:r>
      <w:r w:rsidRPr="00555890">
        <w:rPr>
          <w:color w:val="auto"/>
        </w:rPr>
        <w:t xml:space="preserve"> </w:t>
      </w:r>
    </w:p>
    <w:tbl>
      <w:tblPr>
        <w:tblW w:w="0" w:type="auto"/>
        <w:tblInd w:w="89" w:type="dxa"/>
        <w:tblLayout w:type="fixed"/>
        <w:tblCellMar>
          <w:left w:w="0" w:type="dxa"/>
          <w:right w:w="0" w:type="dxa"/>
        </w:tblCellMar>
        <w:tblLook w:val="01E0" w:firstRow="1" w:lastRow="1" w:firstColumn="1" w:lastColumn="1" w:noHBand="0" w:noVBand="0"/>
      </w:tblPr>
      <w:tblGrid>
        <w:gridCol w:w="1881"/>
        <w:gridCol w:w="2970"/>
        <w:gridCol w:w="3222"/>
        <w:gridCol w:w="2988"/>
        <w:gridCol w:w="3164"/>
      </w:tblGrid>
      <w:tr w:rsidR="00307462" w:rsidRPr="00EA1A90" w14:paraId="6A32FCCB" w14:textId="77777777" w:rsidTr="0072686E">
        <w:trPr>
          <w:trHeight w:hRule="exact" w:val="876"/>
        </w:trPr>
        <w:tc>
          <w:tcPr>
            <w:tcW w:w="1881" w:type="dxa"/>
            <w:tcBorders>
              <w:top w:val="single" w:sz="8" w:space="0" w:color="000000"/>
              <w:left w:val="single" w:sz="8" w:space="0" w:color="000000"/>
              <w:bottom w:val="single" w:sz="8" w:space="0" w:color="000000"/>
              <w:right w:val="single" w:sz="8" w:space="0" w:color="000000"/>
            </w:tcBorders>
            <w:hideMark/>
          </w:tcPr>
          <w:p w14:paraId="34ADBB8E" w14:textId="77777777" w:rsidR="00307462" w:rsidRPr="00EA1A90" w:rsidRDefault="00307462" w:rsidP="004948AF">
            <w:pPr>
              <w:spacing w:before="17" w:after="0" w:line="252" w:lineRule="exact"/>
              <w:ind w:left="445" w:right="-20"/>
              <w:rPr>
                <w:rFonts w:asciiTheme="majorHAnsi" w:eastAsia="Times New Roman" w:hAnsiTheme="majorHAnsi" w:cs="Times New Roman"/>
                <w:sz w:val="20"/>
                <w:szCs w:val="20"/>
              </w:rPr>
            </w:pPr>
            <w:r w:rsidRPr="00EA1A90">
              <w:rPr>
                <w:rFonts w:asciiTheme="majorHAnsi" w:eastAsia="Times New Roman" w:hAnsiTheme="majorHAnsi" w:cs="Times New Roman"/>
                <w:w w:val="113"/>
                <w:sz w:val="20"/>
                <w:szCs w:val="20"/>
              </w:rPr>
              <w:t>Criteria</w:t>
            </w:r>
          </w:p>
        </w:tc>
        <w:tc>
          <w:tcPr>
            <w:tcW w:w="2970" w:type="dxa"/>
            <w:tcBorders>
              <w:top w:val="single" w:sz="8" w:space="0" w:color="000000"/>
              <w:left w:val="single" w:sz="8" w:space="0" w:color="000000"/>
              <w:bottom w:val="single" w:sz="8" w:space="0" w:color="000000"/>
              <w:right w:val="single" w:sz="8" w:space="0" w:color="000000"/>
            </w:tcBorders>
            <w:hideMark/>
          </w:tcPr>
          <w:p w14:paraId="08010FC1"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Exemplary </w:t>
            </w:r>
          </w:p>
          <w:p w14:paraId="2BC6186F"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(90-100 points)</w:t>
            </w:r>
          </w:p>
        </w:tc>
        <w:tc>
          <w:tcPr>
            <w:tcW w:w="3222" w:type="dxa"/>
            <w:tcBorders>
              <w:top w:val="single" w:sz="8" w:space="0" w:color="000000"/>
              <w:left w:val="single" w:sz="8" w:space="0" w:color="000000"/>
              <w:bottom w:val="single" w:sz="8" w:space="0" w:color="000000"/>
              <w:right w:val="single" w:sz="8" w:space="0" w:color="000000"/>
            </w:tcBorders>
            <w:hideMark/>
          </w:tcPr>
          <w:p w14:paraId="69A43270"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Good </w:t>
            </w:r>
          </w:p>
          <w:p w14:paraId="5B2FE3E7"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(89-80 points)</w:t>
            </w:r>
          </w:p>
        </w:tc>
        <w:tc>
          <w:tcPr>
            <w:tcW w:w="2988" w:type="dxa"/>
            <w:tcBorders>
              <w:top w:val="single" w:sz="8" w:space="0" w:color="000000"/>
              <w:left w:val="single" w:sz="8" w:space="0" w:color="000000"/>
              <w:bottom w:val="single" w:sz="8" w:space="0" w:color="000000"/>
              <w:right w:val="single" w:sz="8" w:space="0" w:color="000000"/>
            </w:tcBorders>
            <w:hideMark/>
          </w:tcPr>
          <w:p w14:paraId="5747005D"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Acceptable </w:t>
            </w:r>
          </w:p>
          <w:p w14:paraId="59E5DBC1"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(79-70 points)</w:t>
            </w:r>
          </w:p>
        </w:tc>
        <w:tc>
          <w:tcPr>
            <w:tcW w:w="3164" w:type="dxa"/>
            <w:tcBorders>
              <w:top w:val="single" w:sz="8" w:space="0" w:color="000000"/>
              <w:left w:val="single" w:sz="8" w:space="0" w:color="000000"/>
              <w:bottom w:val="single" w:sz="8" w:space="0" w:color="000000"/>
              <w:right w:val="single" w:sz="8" w:space="0" w:color="000000"/>
            </w:tcBorders>
            <w:hideMark/>
          </w:tcPr>
          <w:p w14:paraId="622C7180"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Unacceptable </w:t>
            </w:r>
          </w:p>
          <w:p w14:paraId="5E0B150A"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(69-60 points)</w:t>
            </w:r>
          </w:p>
        </w:tc>
      </w:tr>
      <w:tr w:rsidR="00307462" w:rsidRPr="00EA1A90" w14:paraId="031C5128" w14:textId="77777777" w:rsidTr="0072686E">
        <w:trPr>
          <w:trHeight w:hRule="exact" w:val="880"/>
        </w:trPr>
        <w:tc>
          <w:tcPr>
            <w:tcW w:w="1881" w:type="dxa"/>
            <w:tcBorders>
              <w:top w:val="single" w:sz="8" w:space="0" w:color="000000"/>
              <w:left w:val="single" w:sz="8" w:space="0" w:color="000000"/>
              <w:bottom w:val="single" w:sz="8" w:space="0" w:color="000000"/>
              <w:right w:val="single" w:sz="8" w:space="0" w:color="000000"/>
            </w:tcBorders>
          </w:tcPr>
          <w:p w14:paraId="4118E19F" w14:textId="77777777" w:rsidR="00307462" w:rsidRPr="00EA1A90" w:rsidRDefault="00307462" w:rsidP="004948AF">
            <w:pPr>
              <w:spacing w:before="1" w:after="0" w:line="100" w:lineRule="exact"/>
              <w:rPr>
                <w:rFonts w:asciiTheme="majorHAnsi" w:hAnsiTheme="majorHAnsi"/>
                <w:sz w:val="20"/>
                <w:szCs w:val="20"/>
              </w:rPr>
            </w:pPr>
          </w:p>
          <w:p w14:paraId="72945D7C" w14:textId="77777777" w:rsidR="00307462" w:rsidRPr="00EA1A90" w:rsidRDefault="00307462" w:rsidP="004948AF">
            <w:pPr>
              <w:spacing w:after="0" w:line="240" w:lineRule="auto"/>
              <w:ind w:left="438" w:right="-20"/>
              <w:rPr>
                <w:rFonts w:asciiTheme="majorHAnsi" w:eastAsia="Times New Roman" w:hAnsiTheme="majorHAnsi" w:cs="Times New Roman"/>
                <w:sz w:val="20"/>
                <w:szCs w:val="20"/>
              </w:rPr>
            </w:pPr>
            <w:r w:rsidRPr="00EA1A90">
              <w:rPr>
                <w:rFonts w:asciiTheme="majorHAnsi" w:eastAsia="Times New Roman" w:hAnsiTheme="majorHAnsi" w:cs="Times New Roman"/>
                <w:w w:val="109"/>
                <w:sz w:val="20"/>
                <w:szCs w:val="20"/>
              </w:rPr>
              <w:t>Purpose</w:t>
            </w:r>
          </w:p>
        </w:tc>
        <w:tc>
          <w:tcPr>
            <w:tcW w:w="2970" w:type="dxa"/>
            <w:tcBorders>
              <w:top w:val="single" w:sz="8" w:space="0" w:color="000000"/>
              <w:left w:val="single" w:sz="8" w:space="0" w:color="000000"/>
              <w:bottom w:val="single" w:sz="8" w:space="0" w:color="000000"/>
              <w:right w:val="single" w:sz="8" w:space="0" w:color="000000"/>
            </w:tcBorders>
            <w:hideMark/>
          </w:tcPr>
          <w:p w14:paraId="40D35E40" w14:textId="77777777" w:rsidR="00307462" w:rsidRPr="00EA1A90" w:rsidRDefault="00307462" w:rsidP="0072686E">
            <w:pPr>
              <w:spacing w:after="0" w:line="264" w:lineRule="auto"/>
              <w:ind w:left="193" w:right="5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writer's central purpose or argument is readily apparent to the reader.</w:t>
            </w:r>
          </w:p>
        </w:tc>
        <w:tc>
          <w:tcPr>
            <w:tcW w:w="3222" w:type="dxa"/>
            <w:tcBorders>
              <w:top w:val="single" w:sz="8" w:space="0" w:color="000000"/>
              <w:left w:val="single" w:sz="8" w:space="0" w:color="000000"/>
              <w:bottom w:val="single" w:sz="8" w:space="0" w:color="000000"/>
              <w:right w:val="single" w:sz="8" w:space="0" w:color="000000"/>
            </w:tcBorders>
            <w:hideMark/>
          </w:tcPr>
          <w:p w14:paraId="07D38F00" w14:textId="77777777" w:rsidR="00307462" w:rsidRPr="00EA1A90" w:rsidRDefault="00307462" w:rsidP="0072686E">
            <w:pPr>
              <w:spacing w:after="0" w:line="264" w:lineRule="auto"/>
              <w:ind w:left="193" w:right="54"/>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has a clear purpose or argument, but may sometimes digress from it.</w:t>
            </w:r>
          </w:p>
        </w:tc>
        <w:tc>
          <w:tcPr>
            <w:tcW w:w="2988" w:type="dxa"/>
            <w:tcBorders>
              <w:top w:val="single" w:sz="8" w:space="0" w:color="000000"/>
              <w:left w:val="single" w:sz="8" w:space="0" w:color="000000"/>
              <w:bottom w:val="single" w:sz="8" w:space="0" w:color="000000"/>
              <w:right w:val="single" w:sz="8" w:space="0" w:color="000000"/>
            </w:tcBorders>
            <w:hideMark/>
          </w:tcPr>
          <w:p w14:paraId="5A21ACFE" w14:textId="77777777" w:rsidR="00307462" w:rsidRPr="00EA1A90" w:rsidRDefault="00307462" w:rsidP="0072686E">
            <w:pPr>
              <w:spacing w:after="0" w:line="264" w:lineRule="auto"/>
              <w:ind w:left="193" w:right="16"/>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central purpose or argument is not consistently clear throughout the paper.</w:t>
            </w:r>
          </w:p>
        </w:tc>
        <w:tc>
          <w:tcPr>
            <w:tcW w:w="3164" w:type="dxa"/>
            <w:tcBorders>
              <w:top w:val="single" w:sz="8" w:space="0" w:color="000000"/>
              <w:left w:val="single" w:sz="8" w:space="0" w:color="000000"/>
              <w:bottom w:val="single" w:sz="8" w:space="0" w:color="000000"/>
              <w:right w:val="single" w:sz="8" w:space="0" w:color="000000"/>
            </w:tcBorders>
            <w:hideMark/>
          </w:tcPr>
          <w:p w14:paraId="58F67CBD" w14:textId="77777777" w:rsidR="00307462" w:rsidRPr="00EA1A90" w:rsidRDefault="00307462" w:rsidP="0072686E">
            <w:pPr>
              <w:spacing w:after="0" w:line="264" w:lineRule="auto"/>
              <w:ind w:left="193" w:right="280"/>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purpose or argument is generally unclear.</w:t>
            </w:r>
          </w:p>
        </w:tc>
      </w:tr>
      <w:tr w:rsidR="00307462" w:rsidRPr="00EA1A90" w14:paraId="03CC65E4" w14:textId="77777777" w:rsidTr="0072686E">
        <w:trPr>
          <w:trHeight w:hRule="exact" w:val="2122"/>
        </w:trPr>
        <w:tc>
          <w:tcPr>
            <w:tcW w:w="1881" w:type="dxa"/>
            <w:tcBorders>
              <w:top w:val="single" w:sz="8" w:space="0" w:color="000000"/>
              <w:left w:val="single" w:sz="8" w:space="0" w:color="000000"/>
              <w:bottom w:val="single" w:sz="8" w:space="0" w:color="000000"/>
              <w:right w:val="single" w:sz="8" w:space="0" w:color="000000"/>
            </w:tcBorders>
          </w:tcPr>
          <w:p w14:paraId="70620D9F" w14:textId="77777777" w:rsidR="00307462" w:rsidRPr="00EA1A90" w:rsidRDefault="00307462" w:rsidP="004948AF">
            <w:pPr>
              <w:spacing w:after="0" w:line="170" w:lineRule="exact"/>
              <w:rPr>
                <w:rFonts w:asciiTheme="majorHAnsi" w:hAnsiTheme="majorHAnsi"/>
                <w:sz w:val="20"/>
                <w:szCs w:val="20"/>
              </w:rPr>
            </w:pPr>
          </w:p>
          <w:p w14:paraId="7CB17F67" w14:textId="77777777" w:rsidR="00307462" w:rsidRPr="00EA1A90" w:rsidRDefault="00307462" w:rsidP="004948AF">
            <w:pPr>
              <w:spacing w:after="0" w:line="200" w:lineRule="exact"/>
              <w:rPr>
                <w:rFonts w:asciiTheme="majorHAnsi" w:hAnsiTheme="majorHAnsi"/>
                <w:sz w:val="20"/>
                <w:szCs w:val="20"/>
              </w:rPr>
            </w:pPr>
          </w:p>
          <w:p w14:paraId="40717FE3" w14:textId="77777777" w:rsidR="00307462" w:rsidRPr="00EA1A90" w:rsidRDefault="00307462" w:rsidP="004948AF">
            <w:pPr>
              <w:spacing w:after="0" w:line="200" w:lineRule="exact"/>
              <w:rPr>
                <w:rFonts w:asciiTheme="majorHAnsi" w:hAnsiTheme="majorHAnsi"/>
                <w:sz w:val="20"/>
                <w:szCs w:val="20"/>
              </w:rPr>
            </w:pPr>
          </w:p>
          <w:p w14:paraId="5D440FD7" w14:textId="77777777" w:rsidR="00307462" w:rsidRPr="00EA1A90" w:rsidRDefault="00307462" w:rsidP="004948AF">
            <w:pPr>
              <w:spacing w:after="0" w:line="200" w:lineRule="exact"/>
              <w:rPr>
                <w:rFonts w:asciiTheme="majorHAnsi" w:hAnsiTheme="majorHAnsi"/>
                <w:sz w:val="20"/>
                <w:szCs w:val="20"/>
              </w:rPr>
            </w:pPr>
          </w:p>
          <w:p w14:paraId="172085EC" w14:textId="77777777" w:rsidR="00307462" w:rsidRPr="00EA1A90" w:rsidRDefault="00307462" w:rsidP="004948AF">
            <w:pPr>
              <w:spacing w:after="0" w:line="240" w:lineRule="auto"/>
              <w:ind w:left="445" w:right="-20"/>
              <w:rPr>
                <w:rFonts w:asciiTheme="majorHAnsi" w:eastAsia="Times New Roman" w:hAnsiTheme="majorHAnsi" w:cs="Times New Roman"/>
                <w:sz w:val="20"/>
                <w:szCs w:val="20"/>
              </w:rPr>
            </w:pPr>
            <w:r w:rsidRPr="00EA1A90">
              <w:rPr>
                <w:rFonts w:asciiTheme="majorHAnsi" w:eastAsia="Times New Roman" w:hAnsiTheme="majorHAnsi" w:cs="Times New Roman"/>
                <w:w w:val="109"/>
                <w:sz w:val="20"/>
                <w:szCs w:val="20"/>
              </w:rPr>
              <w:t>Content</w:t>
            </w:r>
          </w:p>
        </w:tc>
        <w:tc>
          <w:tcPr>
            <w:tcW w:w="2970" w:type="dxa"/>
            <w:tcBorders>
              <w:top w:val="single" w:sz="8" w:space="0" w:color="000000"/>
              <w:left w:val="single" w:sz="8" w:space="0" w:color="000000"/>
              <w:bottom w:val="single" w:sz="8" w:space="0" w:color="000000"/>
              <w:right w:val="single" w:sz="8" w:space="0" w:color="000000"/>
            </w:tcBorders>
            <w:hideMark/>
          </w:tcPr>
          <w:p w14:paraId="55BE67E7" w14:textId="77777777" w:rsidR="00307462" w:rsidRPr="00EA1A90" w:rsidRDefault="00307462" w:rsidP="0072686E">
            <w:pPr>
              <w:spacing w:after="0" w:line="264" w:lineRule="auto"/>
              <w:ind w:left="193" w:right="30"/>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Balanced presentation of relevant and legitimate information that clearly supports a central purpose or argument and shows a thoughtful, in-depth analysis of a significant topic.  Reader gains important insights.</w:t>
            </w:r>
          </w:p>
        </w:tc>
        <w:tc>
          <w:tcPr>
            <w:tcW w:w="3222" w:type="dxa"/>
            <w:tcBorders>
              <w:top w:val="single" w:sz="8" w:space="0" w:color="000000"/>
              <w:left w:val="single" w:sz="8" w:space="0" w:color="000000"/>
              <w:bottom w:val="single" w:sz="8" w:space="0" w:color="000000"/>
              <w:right w:val="single" w:sz="8" w:space="0" w:color="000000"/>
            </w:tcBorders>
            <w:hideMark/>
          </w:tcPr>
          <w:p w14:paraId="04A4F977" w14:textId="77777777" w:rsidR="00307462" w:rsidRPr="00EA1A90" w:rsidRDefault="00307462" w:rsidP="0072686E">
            <w:pPr>
              <w:spacing w:after="0" w:line="264" w:lineRule="auto"/>
              <w:ind w:left="193" w:right="-2"/>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Information provides reasonable support for a central purpose or argument and displays evidence of a basic analysis of a significant topic.  Reader gains some insights.</w:t>
            </w:r>
          </w:p>
        </w:tc>
        <w:tc>
          <w:tcPr>
            <w:tcW w:w="2988" w:type="dxa"/>
            <w:tcBorders>
              <w:top w:val="single" w:sz="8" w:space="0" w:color="000000"/>
              <w:left w:val="single" w:sz="8" w:space="0" w:color="000000"/>
              <w:bottom w:val="single" w:sz="8" w:space="0" w:color="000000"/>
              <w:right w:val="single" w:sz="8" w:space="0" w:color="000000"/>
            </w:tcBorders>
            <w:hideMark/>
          </w:tcPr>
          <w:p w14:paraId="4802F6F6" w14:textId="77777777" w:rsidR="00307462" w:rsidRPr="00EA1A90" w:rsidRDefault="00307462" w:rsidP="0072686E">
            <w:pPr>
              <w:spacing w:after="0" w:line="264" w:lineRule="auto"/>
              <w:ind w:left="193" w:right="23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Information supports a central purpose or argument at times. Analysis is basic or general. Reader gains minimal insights.</w:t>
            </w:r>
          </w:p>
        </w:tc>
        <w:tc>
          <w:tcPr>
            <w:tcW w:w="3164" w:type="dxa"/>
            <w:tcBorders>
              <w:top w:val="single" w:sz="8" w:space="0" w:color="000000"/>
              <w:left w:val="single" w:sz="8" w:space="0" w:color="000000"/>
              <w:bottom w:val="single" w:sz="8" w:space="0" w:color="000000"/>
              <w:right w:val="single" w:sz="8" w:space="0" w:color="000000"/>
            </w:tcBorders>
            <w:hideMark/>
          </w:tcPr>
          <w:p w14:paraId="34C92611" w14:textId="77777777" w:rsidR="00307462" w:rsidRPr="00EA1A90" w:rsidRDefault="00307462" w:rsidP="0072686E">
            <w:pPr>
              <w:spacing w:after="0" w:line="264" w:lineRule="auto"/>
              <w:ind w:left="193" w:right="-2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Central purpose or argument is not clearly identified.</w:t>
            </w:r>
          </w:p>
          <w:p w14:paraId="23C626D4" w14:textId="77777777" w:rsidR="00307462" w:rsidRPr="00EA1A90" w:rsidRDefault="00307462" w:rsidP="0072686E">
            <w:pPr>
              <w:spacing w:before="1" w:after="0" w:line="264" w:lineRule="auto"/>
              <w:ind w:left="193" w:right="-2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Analysis is vague or not evident.  Reader is confused or may be misinformed.</w:t>
            </w:r>
          </w:p>
        </w:tc>
      </w:tr>
      <w:tr w:rsidR="00307462" w:rsidRPr="00EA1A90" w14:paraId="18A80FBE" w14:textId="77777777" w:rsidTr="0072686E">
        <w:trPr>
          <w:trHeight w:hRule="exact" w:val="1807"/>
        </w:trPr>
        <w:tc>
          <w:tcPr>
            <w:tcW w:w="1881" w:type="dxa"/>
            <w:tcBorders>
              <w:top w:val="single" w:sz="8" w:space="0" w:color="000000"/>
              <w:left w:val="single" w:sz="8" w:space="0" w:color="000000"/>
              <w:bottom w:val="single" w:sz="8" w:space="0" w:color="000000"/>
              <w:right w:val="single" w:sz="8" w:space="0" w:color="000000"/>
            </w:tcBorders>
          </w:tcPr>
          <w:p w14:paraId="536D8B42" w14:textId="77777777" w:rsidR="00307462" w:rsidRPr="00EA1A90" w:rsidRDefault="00307462" w:rsidP="004948AF">
            <w:pPr>
              <w:spacing w:before="1" w:after="0" w:line="170" w:lineRule="exact"/>
              <w:rPr>
                <w:rFonts w:asciiTheme="majorHAnsi" w:hAnsiTheme="majorHAnsi"/>
                <w:sz w:val="20"/>
                <w:szCs w:val="20"/>
              </w:rPr>
            </w:pPr>
          </w:p>
          <w:p w14:paraId="2C843BFE" w14:textId="77777777" w:rsidR="00307462" w:rsidRPr="00EA1A90" w:rsidRDefault="00307462" w:rsidP="004948AF">
            <w:pPr>
              <w:spacing w:after="0" w:line="200" w:lineRule="exact"/>
              <w:rPr>
                <w:rFonts w:asciiTheme="majorHAnsi" w:hAnsiTheme="majorHAnsi"/>
                <w:sz w:val="20"/>
                <w:szCs w:val="20"/>
              </w:rPr>
            </w:pPr>
          </w:p>
          <w:p w14:paraId="67FE5105" w14:textId="77777777" w:rsidR="00307462" w:rsidRPr="00EA1A90" w:rsidRDefault="00307462" w:rsidP="004948AF">
            <w:pPr>
              <w:spacing w:after="0" w:line="200" w:lineRule="exact"/>
              <w:rPr>
                <w:rFonts w:asciiTheme="majorHAnsi" w:hAnsiTheme="majorHAnsi"/>
                <w:sz w:val="20"/>
                <w:szCs w:val="20"/>
              </w:rPr>
            </w:pPr>
          </w:p>
          <w:p w14:paraId="22770D2D" w14:textId="77777777" w:rsidR="00307462" w:rsidRPr="00EA1A90" w:rsidRDefault="00307462" w:rsidP="004948AF">
            <w:pPr>
              <w:spacing w:after="0" w:line="240" w:lineRule="auto"/>
              <w:ind w:left="201" w:right="-20"/>
              <w:rPr>
                <w:rFonts w:asciiTheme="majorHAnsi" w:eastAsia="Times New Roman" w:hAnsiTheme="majorHAnsi" w:cs="Times New Roman"/>
                <w:sz w:val="20"/>
                <w:szCs w:val="20"/>
              </w:rPr>
            </w:pPr>
            <w:r w:rsidRPr="00EA1A90">
              <w:rPr>
                <w:rFonts w:asciiTheme="majorHAnsi" w:eastAsia="Times New Roman" w:hAnsiTheme="majorHAnsi" w:cs="Times New Roman"/>
                <w:w w:val="108"/>
                <w:sz w:val="20"/>
                <w:szCs w:val="20"/>
              </w:rPr>
              <w:t>Organization</w:t>
            </w:r>
          </w:p>
        </w:tc>
        <w:tc>
          <w:tcPr>
            <w:tcW w:w="2970" w:type="dxa"/>
            <w:tcBorders>
              <w:top w:val="single" w:sz="8" w:space="0" w:color="000000"/>
              <w:left w:val="single" w:sz="8" w:space="0" w:color="000000"/>
              <w:bottom w:val="single" w:sz="8" w:space="0" w:color="000000"/>
              <w:right w:val="single" w:sz="8" w:space="0" w:color="000000"/>
            </w:tcBorders>
            <w:hideMark/>
          </w:tcPr>
          <w:p w14:paraId="4C414174" w14:textId="77777777" w:rsidR="00307462" w:rsidRPr="00EA1A90" w:rsidRDefault="00307462" w:rsidP="0072686E">
            <w:pPr>
              <w:spacing w:after="0" w:line="264" w:lineRule="auto"/>
              <w:ind w:left="193" w:right="-3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ideas are arranged logically to support the purpose or argument.  They flow smoothly from one to another and are clearly linked to each other.</w:t>
            </w:r>
          </w:p>
          <w:p w14:paraId="7E78CB44" w14:textId="77777777" w:rsidR="00307462" w:rsidRPr="00EA1A90" w:rsidRDefault="00307462" w:rsidP="0072686E">
            <w:pPr>
              <w:spacing w:before="1" w:after="0" w:line="264" w:lineRule="auto"/>
              <w:ind w:left="193" w:right="14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reader can follow the line of reasoning.</w:t>
            </w:r>
          </w:p>
        </w:tc>
        <w:tc>
          <w:tcPr>
            <w:tcW w:w="3222" w:type="dxa"/>
            <w:tcBorders>
              <w:top w:val="single" w:sz="8" w:space="0" w:color="000000"/>
              <w:left w:val="single" w:sz="8" w:space="0" w:color="000000"/>
              <w:bottom w:val="single" w:sz="8" w:space="0" w:color="000000"/>
              <w:right w:val="single" w:sz="8" w:space="0" w:color="000000"/>
            </w:tcBorders>
            <w:hideMark/>
          </w:tcPr>
          <w:p w14:paraId="7B1ADE85" w14:textId="77777777" w:rsidR="00307462" w:rsidRPr="00EA1A90" w:rsidRDefault="00307462" w:rsidP="0072686E">
            <w:pPr>
              <w:spacing w:after="0" w:line="264" w:lineRule="auto"/>
              <w:ind w:left="193" w:right="1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ideas are arranged logically to support the central purpose or argument.  They are usually</w:t>
            </w:r>
          </w:p>
          <w:p w14:paraId="50D78708" w14:textId="77777777" w:rsidR="00307462" w:rsidRPr="00EA1A90" w:rsidRDefault="00307462" w:rsidP="0072686E">
            <w:pPr>
              <w:spacing w:before="1" w:after="0" w:line="264" w:lineRule="auto"/>
              <w:ind w:left="193" w:right="19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clearly linked to each other.  For the most part, the reader can follow the line of reasoning.</w:t>
            </w:r>
          </w:p>
        </w:tc>
        <w:tc>
          <w:tcPr>
            <w:tcW w:w="2988" w:type="dxa"/>
            <w:tcBorders>
              <w:top w:val="single" w:sz="8" w:space="0" w:color="000000"/>
              <w:left w:val="single" w:sz="8" w:space="0" w:color="000000"/>
              <w:bottom w:val="single" w:sz="8" w:space="0" w:color="000000"/>
              <w:right w:val="single" w:sz="8" w:space="0" w:color="000000"/>
            </w:tcBorders>
            <w:hideMark/>
          </w:tcPr>
          <w:p w14:paraId="77641B57" w14:textId="77777777" w:rsidR="00307462" w:rsidRPr="00EA1A90" w:rsidRDefault="00307462" w:rsidP="0072686E">
            <w:pPr>
              <w:spacing w:after="0" w:line="264" w:lineRule="auto"/>
              <w:ind w:left="193" w:right="17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 general, the writing is arranged logically, although occasionally ideas fail to make sense together.  The reader is fairly clear about what writer intends.</w:t>
            </w:r>
          </w:p>
        </w:tc>
        <w:tc>
          <w:tcPr>
            <w:tcW w:w="3164" w:type="dxa"/>
            <w:tcBorders>
              <w:top w:val="single" w:sz="8" w:space="0" w:color="000000"/>
              <w:left w:val="single" w:sz="8" w:space="0" w:color="000000"/>
              <w:bottom w:val="single" w:sz="8" w:space="0" w:color="000000"/>
              <w:right w:val="single" w:sz="8" w:space="0" w:color="000000"/>
            </w:tcBorders>
            <w:hideMark/>
          </w:tcPr>
          <w:p w14:paraId="5679C5DA" w14:textId="77777777" w:rsidR="00307462" w:rsidRPr="00EA1A90" w:rsidRDefault="00307462" w:rsidP="0072686E">
            <w:pPr>
              <w:spacing w:after="0" w:line="264" w:lineRule="auto"/>
              <w:ind w:left="193" w:right="15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not logically organized.  Frequently, ideas fail to make sense together. The reader cannot identify a line of reasoning and loses interest.</w:t>
            </w:r>
          </w:p>
        </w:tc>
      </w:tr>
      <w:tr w:rsidR="00307462" w:rsidRPr="00EA1A90" w14:paraId="76E01758" w14:textId="77777777" w:rsidTr="0072686E">
        <w:trPr>
          <w:trHeight w:hRule="exact" w:val="1258"/>
        </w:trPr>
        <w:tc>
          <w:tcPr>
            <w:tcW w:w="1881" w:type="dxa"/>
            <w:tcBorders>
              <w:top w:val="single" w:sz="8" w:space="0" w:color="000000"/>
              <w:left w:val="single" w:sz="8" w:space="0" w:color="000000"/>
              <w:bottom w:val="single" w:sz="8" w:space="0" w:color="000000"/>
              <w:right w:val="single" w:sz="8" w:space="0" w:color="000000"/>
            </w:tcBorders>
          </w:tcPr>
          <w:p w14:paraId="0270B3CF" w14:textId="77777777" w:rsidR="00307462" w:rsidRPr="00EA1A90" w:rsidRDefault="00307462" w:rsidP="004948AF">
            <w:pPr>
              <w:spacing w:before="10" w:after="0" w:line="110" w:lineRule="exact"/>
              <w:rPr>
                <w:rFonts w:asciiTheme="majorHAnsi" w:hAnsiTheme="majorHAnsi"/>
                <w:sz w:val="20"/>
                <w:szCs w:val="20"/>
              </w:rPr>
            </w:pPr>
          </w:p>
          <w:p w14:paraId="38AEC020" w14:textId="77777777" w:rsidR="00307462" w:rsidRPr="00EA1A90" w:rsidRDefault="0072686E" w:rsidP="0072686E">
            <w:pPr>
              <w:spacing w:after="0" w:line="240" w:lineRule="auto"/>
              <w:ind w:right="558"/>
              <w:jc w:val="center"/>
              <w:rPr>
                <w:rFonts w:asciiTheme="majorHAnsi" w:eastAsia="Times New Roman" w:hAnsiTheme="majorHAnsi" w:cs="Times New Roman"/>
                <w:sz w:val="20"/>
                <w:szCs w:val="20"/>
              </w:rPr>
            </w:pPr>
            <w:r>
              <w:rPr>
                <w:rFonts w:asciiTheme="majorHAnsi" w:eastAsia="Times New Roman" w:hAnsiTheme="majorHAnsi" w:cs="Times New Roman"/>
                <w:w w:val="103"/>
                <w:sz w:val="20"/>
                <w:szCs w:val="20"/>
              </w:rPr>
              <w:t xml:space="preserve">Writing </w:t>
            </w:r>
            <w:r w:rsidR="00307462" w:rsidRPr="00EA1A90">
              <w:rPr>
                <w:rFonts w:asciiTheme="majorHAnsi" w:eastAsia="Times New Roman" w:hAnsiTheme="majorHAnsi" w:cs="Times New Roman"/>
                <w:w w:val="103"/>
                <w:sz w:val="20"/>
                <w:szCs w:val="20"/>
              </w:rPr>
              <w:t>Feel</w:t>
            </w:r>
          </w:p>
        </w:tc>
        <w:tc>
          <w:tcPr>
            <w:tcW w:w="2970" w:type="dxa"/>
            <w:tcBorders>
              <w:top w:val="single" w:sz="8" w:space="0" w:color="000000"/>
              <w:left w:val="single" w:sz="8" w:space="0" w:color="000000"/>
              <w:bottom w:val="single" w:sz="8" w:space="0" w:color="000000"/>
              <w:right w:val="single" w:sz="8" w:space="0" w:color="000000"/>
            </w:tcBorders>
            <w:hideMark/>
          </w:tcPr>
          <w:p w14:paraId="230D60BF" w14:textId="77777777" w:rsidR="00307462" w:rsidRPr="00EA1A90" w:rsidRDefault="00307462" w:rsidP="0072686E">
            <w:pPr>
              <w:spacing w:after="0" w:line="264" w:lineRule="auto"/>
              <w:ind w:left="193" w:right="214"/>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 xml:space="preserve">The writing is compelling. </w:t>
            </w:r>
            <w:r w:rsidRPr="00EA1A90">
              <w:rPr>
                <w:rFonts w:asciiTheme="majorHAnsi" w:eastAsia="Times New Roman" w:hAnsiTheme="majorHAnsi" w:cs="Times New Roman"/>
                <w:spacing w:val="1"/>
                <w:sz w:val="20"/>
                <w:szCs w:val="20"/>
              </w:rPr>
              <w:t xml:space="preserve"> </w:t>
            </w:r>
            <w:r w:rsidRPr="00EA1A90">
              <w:rPr>
                <w:rFonts w:asciiTheme="majorHAnsi" w:eastAsia="Times New Roman" w:hAnsiTheme="majorHAnsi" w:cs="Times New Roman"/>
                <w:sz w:val="20"/>
                <w:szCs w:val="20"/>
              </w:rPr>
              <w:t xml:space="preserve">It hooks the reader </w:t>
            </w:r>
            <w:r w:rsidR="0072686E">
              <w:rPr>
                <w:rFonts w:asciiTheme="majorHAnsi" w:eastAsia="Times New Roman" w:hAnsiTheme="majorHAnsi" w:cs="Times New Roman"/>
                <w:sz w:val="20"/>
                <w:szCs w:val="20"/>
              </w:rPr>
              <w:t xml:space="preserve">and sustains </w:t>
            </w:r>
            <w:r w:rsidRPr="00EA1A90">
              <w:rPr>
                <w:rFonts w:asciiTheme="majorHAnsi" w:eastAsia="Times New Roman" w:hAnsiTheme="majorHAnsi" w:cs="Times New Roman"/>
                <w:sz w:val="20"/>
                <w:szCs w:val="20"/>
              </w:rPr>
              <w:t>interest throughout.</w:t>
            </w:r>
          </w:p>
        </w:tc>
        <w:tc>
          <w:tcPr>
            <w:tcW w:w="3222" w:type="dxa"/>
            <w:tcBorders>
              <w:top w:val="single" w:sz="8" w:space="0" w:color="000000"/>
              <w:left w:val="single" w:sz="8" w:space="0" w:color="000000"/>
              <w:bottom w:val="single" w:sz="8" w:space="0" w:color="000000"/>
              <w:right w:val="single" w:sz="8" w:space="0" w:color="000000"/>
            </w:tcBorders>
            <w:hideMark/>
          </w:tcPr>
          <w:p w14:paraId="5345570D" w14:textId="77777777" w:rsidR="00307462" w:rsidRPr="00EA1A90" w:rsidRDefault="00307462" w:rsidP="0072686E">
            <w:pPr>
              <w:spacing w:after="0" w:line="264" w:lineRule="auto"/>
              <w:ind w:left="193" w:right="-5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generally engaging, but has some dry spots.  In general, it is focused and keeps the reader's attention.</w:t>
            </w:r>
          </w:p>
        </w:tc>
        <w:tc>
          <w:tcPr>
            <w:tcW w:w="2988" w:type="dxa"/>
            <w:tcBorders>
              <w:top w:val="single" w:sz="8" w:space="0" w:color="000000"/>
              <w:left w:val="single" w:sz="8" w:space="0" w:color="000000"/>
              <w:bottom w:val="single" w:sz="8" w:space="0" w:color="000000"/>
              <w:right w:val="single" w:sz="8" w:space="0" w:color="000000"/>
            </w:tcBorders>
            <w:hideMark/>
          </w:tcPr>
          <w:p w14:paraId="26297B7F" w14:textId="77777777" w:rsidR="00307462" w:rsidRPr="00EA1A90" w:rsidRDefault="00307462" w:rsidP="0072686E">
            <w:pPr>
              <w:spacing w:after="0" w:line="264" w:lineRule="auto"/>
              <w:ind w:left="193" w:right="14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dull and unengaging.  Though the paper has some interesting parts, the reader finds it difficult to maintain interest.</w:t>
            </w:r>
          </w:p>
        </w:tc>
        <w:tc>
          <w:tcPr>
            <w:tcW w:w="3164" w:type="dxa"/>
            <w:tcBorders>
              <w:top w:val="single" w:sz="8" w:space="0" w:color="000000"/>
              <w:left w:val="single" w:sz="8" w:space="0" w:color="000000"/>
              <w:bottom w:val="single" w:sz="8" w:space="0" w:color="000000"/>
              <w:right w:val="single" w:sz="8" w:space="0" w:color="000000"/>
            </w:tcBorders>
            <w:hideMark/>
          </w:tcPr>
          <w:p w14:paraId="20736E96" w14:textId="77777777" w:rsidR="00307462" w:rsidRPr="00EA1A90" w:rsidRDefault="00307462" w:rsidP="0072686E">
            <w:pPr>
              <w:spacing w:after="0" w:line="264" w:lineRule="auto"/>
              <w:ind w:left="193" w:right="61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has little personality.  The reader</w:t>
            </w:r>
          </w:p>
          <w:p w14:paraId="076633DB" w14:textId="77777777" w:rsidR="00307462" w:rsidRPr="00EA1A90" w:rsidRDefault="00307462" w:rsidP="0072686E">
            <w:pPr>
              <w:spacing w:before="1" w:after="0" w:line="264" w:lineRule="auto"/>
              <w:ind w:left="193" w:right="-39"/>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quickly loses interest and stops reading.</w:t>
            </w:r>
          </w:p>
        </w:tc>
      </w:tr>
      <w:tr w:rsidR="0072686E" w:rsidRPr="00EA1A90" w14:paraId="5E6789EA" w14:textId="77777777" w:rsidTr="00F64322">
        <w:trPr>
          <w:trHeight w:hRule="exact" w:val="2536"/>
        </w:trPr>
        <w:tc>
          <w:tcPr>
            <w:tcW w:w="1881" w:type="dxa"/>
            <w:tcBorders>
              <w:top w:val="single" w:sz="8" w:space="0" w:color="000000"/>
              <w:left w:val="single" w:sz="8" w:space="0" w:color="000000"/>
              <w:bottom w:val="single" w:sz="8" w:space="0" w:color="000000"/>
              <w:right w:val="single" w:sz="8" w:space="0" w:color="000000"/>
            </w:tcBorders>
          </w:tcPr>
          <w:p w14:paraId="0DEC936B" w14:textId="77777777" w:rsidR="0072686E" w:rsidRPr="00EA16A1" w:rsidRDefault="0072686E" w:rsidP="0072686E">
            <w:pPr>
              <w:spacing w:after="0" w:line="264" w:lineRule="auto"/>
              <w:ind w:left="83" w:right="59"/>
              <w:rPr>
                <w:rFonts w:asciiTheme="majorHAnsi" w:eastAsia="Times New Roman" w:hAnsiTheme="majorHAnsi" w:cs="Times New Roman"/>
                <w:sz w:val="20"/>
                <w:szCs w:val="20"/>
              </w:rPr>
            </w:pPr>
            <w:r w:rsidRPr="00EA16A1">
              <w:rPr>
                <w:rFonts w:asciiTheme="majorHAnsi" w:eastAsia="Times New Roman" w:hAnsiTheme="majorHAnsi" w:cs="Times New Roman"/>
                <w:w w:val="112"/>
                <w:sz w:val="20"/>
                <w:szCs w:val="20"/>
              </w:rPr>
              <w:t xml:space="preserve">Grammar, </w:t>
            </w:r>
            <w:r w:rsidRPr="00EA16A1">
              <w:rPr>
                <w:rFonts w:asciiTheme="majorHAnsi" w:eastAsia="Times New Roman" w:hAnsiTheme="majorHAnsi" w:cs="Times New Roman"/>
                <w:w w:val="103"/>
                <w:sz w:val="20"/>
                <w:szCs w:val="20"/>
              </w:rPr>
              <w:t xml:space="preserve">Spelling, </w:t>
            </w:r>
            <w:r w:rsidRPr="00EA16A1">
              <w:rPr>
                <w:rFonts w:asciiTheme="majorHAnsi" w:eastAsia="Times New Roman" w:hAnsiTheme="majorHAnsi" w:cs="Times New Roman"/>
                <w:w w:val="109"/>
                <w:sz w:val="20"/>
                <w:szCs w:val="20"/>
              </w:rPr>
              <w:t xml:space="preserve">Writing </w:t>
            </w:r>
            <w:r w:rsidRPr="00EA16A1">
              <w:rPr>
                <w:rFonts w:asciiTheme="majorHAnsi" w:eastAsia="Times New Roman" w:hAnsiTheme="majorHAnsi" w:cs="Times New Roman"/>
                <w:w w:val="105"/>
                <w:sz w:val="20"/>
                <w:szCs w:val="20"/>
              </w:rPr>
              <w:t xml:space="preserve">Mechanics </w:t>
            </w:r>
            <w:r w:rsidRPr="00EA16A1">
              <w:rPr>
                <w:rFonts w:asciiTheme="majorHAnsi" w:eastAsia="Times New Roman" w:hAnsiTheme="majorHAnsi" w:cs="Times New Roman"/>
                <w:w w:val="108"/>
                <w:sz w:val="20"/>
                <w:szCs w:val="20"/>
              </w:rPr>
              <w:t xml:space="preserve">(punctuation, </w:t>
            </w:r>
            <w:r w:rsidRPr="00EA16A1">
              <w:rPr>
                <w:rFonts w:asciiTheme="majorHAnsi" w:eastAsia="Times New Roman" w:hAnsiTheme="majorHAnsi" w:cs="Times New Roman"/>
                <w:sz w:val="20"/>
                <w:szCs w:val="20"/>
              </w:rPr>
              <w:t>italics,</w:t>
            </w:r>
            <w:r w:rsidRPr="00EA16A1">
              <w:rPr>
                <w:rFonts w:asciiTheme="majorHAnsi" w:eastAsia="Times New Roman" w:hAnsiTheme="majorHAnsi" w:cs="Times New Roman"/>
                <w:spacing w:val="23"/>
                <w:sz w:val="20"/>
                <w:szCs w:val="20"/>
              </w:rPr>
              <w:t xml:space="preserve"> </w:t>
            </w:r>
            <w:proofErr w:type="spellStart"/>
            <w:r>
              <w:rPr>
                <w:rFonts w:asciiTheme="majorHAnsi" w:eastAsia="Times New Roman" w:hAnsiTheme="majorHAnsi" w:cs="Times New Roman"/>
                <w:w w:val="107"/>
                <w:sz w:val="20"/>
                <w:szCs w:val="20"/>
              </w:rPr>
              <w:t>capitali</w:t>
            </w:r>
            <w:r w:rsidRPr="00EA16A1">
              <w:rPr>
                <w:rFonts w:asciiTheme="majorHAnsi" w:eastAsia="Times New Roman" w:hAnsiTheme="majorHAnsi" w:cs="Times New Roman"/>
                <w:w w:val="105"/>
                <w:sz w:val="20"/>
                <w:szCs w:val="20"/>
              </w:rPr>
              <w:t>zation,etc</w:t>
            </w:r>
            <w:proofErr w:type="spellEnd"/>
            <w:r w:rsidRPr="00EA16A1">
              <w:rPr>
                <w:rFonts w:asciiTheme="majorHAnsi" w:eastAsia="Times New Roman" w:hAnsiTheme="majorHAnsi" w:cs="Times New Roman"/>
                <w:w w:val="105"/>
                <w:sz w:val="20"/>
                <w:szCs w:val="20"/>
              </w:rPr>
              <w:t>.</w:t>
            </w:r>
            <w:r>
              <w:rPr>
                <w:rFonts w:asciiTheme="majorHAnsi" w:eastAsia="Times New Roman" w:hAnsiTheme="majorHAnsi" w:cs="Times New Roman"/>
                <w:w w:val="105"/>
                <w:sz w:val="20"/>
                <w:szCs w:val="20"/>
              </w:rPr>
              <w:t xml:space="preserve">) and sentence structure and length </w:t>
            </w:r>
          </w:p>
        </w:tc>
        <w:tc>
          <w:tcPr>
            <w:tcW w:w="2970" w:type="dxa"/>
            <w:tcBorders>
              <w:top w:val="single" w:sz="8" w:space="0" w:color="000000"/>
              <w:left w:val="single" w:sz="8" w:space="0" w:color="000000"/>
              <w:bottom w:val="single" w:sz="8" w:space="0" w:color="000000"/>
              <w:right w:val="single" w:sz="8" w:space="0" w:color="000000"/>
            </w:tcBorders>
          </w:tcPr>
          <w:p w14:paraId="47E01A81" w14:textId="77777777" w:rsidR="0072686E" w:rsidRPr="00EA16A1" w:rsidRDefault="0072686E" w:rsidP="0072686E">
            <w:pPr>
              <w:spacing w:after="0" w:line="264" w:lineRule="auto"/>
              <w:ind w:left="193" w:right="282"/>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 writing is free or almost free of errors. Sentences are well-phrased and varied in length and structure. They flow smoothly from one to another. Paper is the number of pages specified in the assignment.</w:t>
            </w:r>
          </w:p>
        </w:tc>
        <w:tc>
          <w:tcPr>
            <w:tcW w:w="3222" w:type="dxa"/>
            <w:tcBorders>
              <w:top w:val="single" w:sz="8" w:space="0" w:color="000000"/>
              <w:left w:val="single" w:sz="8" w:space="0" w:color="000000"/>
              <w:bottom w:val="single" w:sz="8" w:space="0" w:color="000000"/>
              <w:right w:val="single" w:sz="8" w:space="0" w:color="000000"/>
            </w:tcBorders>
          </w:tcPr>
          <w:p w14:paraId="7B65AE43" w14:textId="77777777" w:rsidR="0072686E" w:rsidRPr="00EA16A1" w:rsidRDefault="0072686E" w:rsidP="0072686E">
            <w:pPr>
              <w:spacing w:after="0" w:line="264" w:lineRule="auto"/>
              <w:ind w:left="193" w:right="281"/>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There are occasional errors, but they don't represent a major distraction or obscure meaning. Sentences are well-phrased and there is some variety in length and structure.  The flow from sentence to sentence is generally smooth.</w:t>
            </w:r>
          </w:p>
        </w:tc>
        <w:tc>
          <w:tcPr>
            <w:tcW w:w="2988" w:type="dxa"/>
            <w:tcBorders>
              <w:top w:val="single" w:sz="8" w:space="0" w:color="000000"/>
              <w:left w:val="single" w:sz="8" w:space="0" w:color="000000"/>
              <w:bottom w:val="single" w:sz="8" w:space="0" w:color="000000"/>
              <w:right w:val="single" w:sz="8" w:space="0" w:color="000000"/>
            </w:tcBorders>
          </w:tcPr>
          <w:p w14:paraId="06DB33A9" w14:textId="77777777" w:rsidR="0072686E" w:rsidRPr="00EA16A1" w:rsidRDefault="0072686E" w:rsidP="0072686E">
            <w:pPr>
              <w:spacing w:after="0" w:line="264" w:lineRule="auto"/>
              <w:ind w:left="193" w:right="-33"/>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 writing has many errors, and the reader is distracted by them. Some sentences are awkwardly constructed so that the reader is occasionally distracted.</w:t>
            </w:r>
          </w:p>
        </w:tc>
        <w:tc>
          <w:tcPr>
            <w:tcW w:w="3164" w:type="dxa"/>
            <w:tcBorders>
              <w:top w:val="single" w:sz="8" w:space="0" w:color="000000"/>
              <w:left w:val="single" w:sz="8" w:space="0" w:color="000000"/>
              <w:bottom w:val="single" w:sz="8" w:space="0" w:color="000000"/>
              <w:right w:val="single" w:sz="8" w:space="0" w:color="000000"/>
            </w:tcBorders>
          </w:tcPr>
          <w:p w14:paraId="22597C7D" w14:textId="77777777" w:rsidR="0072686E" w:rsidRDefault="0072686E" w:rsidP="0072686E">
            <w:pPr>
              <w:spacing w:after="0" w:line="264" w:lineRule="auto"/>
              <w:ind w:left="193" w:right="115"/>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 xml:space="preserve">There are so many errors that meaning is obscured.  The reader is confused and stops reading. Errors in sentence structure are frequent enough to be a major distraction to the reader. </w:t>
            </w:r>
          </w:p>
          <w:p w14:paraId="5E0993B0" w14:textId="77777777" w:rsidR="0072686E" w:rsidRDefault="0072686E" w:rsidP="0072686E">
            <w:pPr>
              <w:spacing w:after="0" w:line="264" w:lineRule="auto"/>
              <w:ind w:left="193" w:right="115"/>
              <w:rPr>
                <w:rFonts w:asciiTheme="majorHAnsi" w:eastAsia="Times New Roman" w:hAnsiTheme="majorHAnsi" w:cs="Times New Roman"/>
                <w:sz w:val="20"/>
                <w:szCs w:val="20"/>
              </w:rPr>
            </w:pPr>
          </w:p>
          <w:p w14:paraId="30739D55" w14:textId="77777777" w:rsidR="0072686E" w:rsidRPr="00EA16A1" w:rsidRDefault="0072686E" w:rsidP="0072686E">
            <w:pPr>
              <w:spacing w:after="0" w:line="264" w:lineRule="auto"/>
              <w:ind w:left="193" w:right="115"/>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Paper has more or fewer pages than specified in the assignment.</w:t>
            </w:r>
          </w:p>
        </w:tc>
      </w:tr>
    </w:tbl>
    <w:p w14:paraId="4522AD26" w14:textId="77777777" w:rsidR="00F64322" w:rsidRDefault="00F64322" w:rsidP="00F64322">
      <w:pPr>
        <w:spacing w:after="0"/>
        <w:rPr>
          <w:rFonts w:asciiTheme="majorHAnsi" w:hAnsiTheme="majorHAnsi"/>
        </w:rPr>
      </w:pPr>
    </w:p>
    <w:sectPr w:rsidR="00F64322" w:rsidSect="00307462">
      <w:headerReference w:type="default"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572A" w14:textId="77777777" w:rsidR="00FE500F" w:rsidRDefault="00FE500F" w:rsidP="00B94137">
      <w:pPr>
        <w:spacing w:after="0" w:line="240" w:lineRule="auto"/>
      </w:pPr>
      <w:r>
        <w:separator/>
      </w:r>
    </w:p>
  </w:endnote>
  <w:endnote w:type="continuationSeparator" w:id="0">
    <w:p w14:paraId="1FC97D6F" w14:textId="77777777" w:rsidR="00FE500F" w:rsidRDefault="00FE500F" w:rsidP="00B9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32975"/>
      <w:docPartObj>
        <w:docPartGallery w:val="Page Numbers (Bottom of Page)"/>
        <w:docPartUnique/>
      </w:docPartObj>
    </w:sdtPr>
    <w:sdtEndPr>
      <w:rPr>
        <w:noProof/>
      </w:rPr>
    </w:sdtEndPr>
    <w:sdtContent>
      <w:p w14:paraId="0C5C1973" w14:textId="282182A7" w:rsidR="00895BA1" w:rsidRDefault="00895BA1">
        <w:pPr>
          <w:pStyle w:val="Footer"/>
          <w:jc w:val="center"/>
        </w:pPr>
        <w:r>
          <w:fldChar w:fldCharType="begin"/>
        </w:r>
        <w:r>
          <w:instrText xml:space="preserve"> PAGE   \* MERGEFORMAT </w:instrText>
        </w:r>
        <w:r>
          <w:fldChar w:fldCharType="separate"/>
        </w:r>
        <w:r w:rsidR="00E12D27">
          <w:rPr>
            <w:noProof/>
          </w:rPr>
          <w:t>4</w:t>
        </w:r>
        <w:r>
          <w:rPr>
            <w:noProof/>
          </w:rPr>
          <w:fldChar w:fldCharType="end"/>
        </w:r>
      </w:p>
    </w:sdtContent>
  </w:sdt>
  <w:p w14:paraId="4449127D" w14:textId="77777777" w:rsidR="00895BA1" w:rsidRDefault="00895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108853999"/>
      <w:docPartObj>
        <w:docPartGallery w:val="Page Numbers (Bottom of Page)"/>
        <w:docPartUnique/>
      </w:docPartObj>
    </w:sdtPr>
    <w:sdtEndPr>
      <w:rPr>
        <w:color w:val="808080" w:themeColor="background1" w:themeShade="80"/>
        <w:spacing w:val="60"/>
      </w:rPr>
    </w:sdtEndPr>
    <w:sdtContent>
      <w:p w14:paraId="6CA6C6DF" w14:textId="7A86A50F" w:rsidR="00895BA1" w:rsidRPr="00216352" w:rsidRDefault="00895BA1" w:rsidP="00216352">
        <w:pPr>
          <w:pStyle w:val="Footer"/>
          <w:pBdr>
            <w:top w:val="single" w:sz="4" w:space="1" w:color="D9D9D9" w:themeColor="background1" w:themeShade="D9"/>
          </w:pBdr>
          <w:jc w:val="right"/>
          <w:rPr>
            <w:rFonts w:asciiTheme="majorHAnsi" w:hAnsiTheme="majorHAnsi"/>
            <w:b/>
            <w:bCs/>
            <w:sz w:val="16"/>
            <w:szCs w:val="16"/>
          </w:rPr>
        </w:pPr>
        <w:r w:rsidRPr="00216352">
          <w:rPr>
            <w:rFonts w:asciiTheme="majorHAnsi" w:hAnsiTheme="majorHAnsi"/>
            <w:sz w:val="16"/>
            <w:szCs w:val="16"/>
          </w:rPr>
          <w:fldChar w:fldCharType="begin"/>
        </w:r>
        <w:r w:rsidRPr="00216352">
          <w:rPr>
            <w:rFonts w:asciiTheme="majorHAnsi" w:hAnsiTheme="majorHAnsi"/>
            <w:sz w:val="16"/>
            <w:szCs w:val="16"/>
          </w:rPr>
          <w:instrText xml:space="preserve"> PAGE   \* MERGEFORMAT </w:instrText>
        </w:r>
        <w:r w:rsidRPr="00216352">
          <w:rPr>
            <w:rFonts w:asciiTheme="majorHAnsi" w:hAnsiTheme="majorHAnsi"/>
            <w:sz w:val="16"/>
            <w:szCs w:val="16"/>
          </w:rPr>
          <w:fldChar w:fldCharType="separate"/>
        </w:r>
        <w:r w:rsidR="00E12D27" w:rsidRPr="00E12D27">
          <w:rPr>
            <w:rFonts w:asciiTheme="majorHAnsi" w:hAnsiTheme="majorHAnsi"/>
            <w:b/>
            <w:bCs/>
            <w:noProof/>
            <w:sz w:val="16"/>
            <w:szCs w:val="16"/>
          </w:rPr>
          <w:t>5</w:t>
        </w:r>
        <w:r w:rsidRPr="00216352">
          <w:rPr>
            <w:rFonts w:asciiTheme="majorHAnsi" w:hAnsiTheme="majorHAnsi"/>
            <w:b/>
            <w:bCs/>
            <w:noProof/>
            <w:sz w:val="16"/>
            <w:szCs w:val="16"/>
          </w:rPr>
          <w:fldChar w:fldCharType="end"/>
        </w:r>
        <w:r w:rsidRPr="00216352">
          <w:rPr>
            <w:rFonts w:asciiTheme="majorHAnsi" w:hAnsiTheme="majorHAnsi"/>
            <w:b/>
            <w:bCs/>
            <w:sz w:val="16"/>
            <w:szCs w:val="16"/>
          </w:rPr>
          <w:t xml:space="preserve"> | </w:t>
        </w:r>
        <w:r w:rsidRPr="00216352">
          <w:rPr>
            <w:rFonts w:asciiTheme="majorHAnsi" w:hAnsiTheme="majorHAnsi"/>
            <w:color w:val="808080" w:themeColor="background1" w:themeShade="80"/>
            <w:spacing w:val="60"/>
            <w:sz w:val="16"/>
            <w:szCs w:val="16"/>
          </w:rPr>
          <w:t>Page</w:t>
        </w:r>
      </w:p>
    </w:sdtContent>
  </w:sdt>
  <w:p w14:paraId="55284967" w14:textId="77777777" w:rsidR="00895BA1" w:rsidRPr="00216352" w:rsidRDefault="00895BA1">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6FBF" w14:textId="77777777" w:rsidR="00FE500F" w:rsidRDefault="00FE500F" w:rsidP="00B94137">
      <w:pPr>
        <w:spacing w:after="0" w:line="240" w:lineRule="auto"/>
      </w:pPr>
      <w:r>
        <w:separator/>
      </w:r>
    </w:p>
  </w:footnote>
  <w:footnote w:type="continuationSeparator" w:id="0">
    <w:p w14:paraId="5D82D161" w14:textId="77777777" w:rsidR="00FE500F" w:rsidRDefault="00FE500F" w:rsidP="00B9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823" w14:textId="77777777" w:rsidR="00895BA1" w:rsidRDefault="0089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A3"/>
    <w:multiLevelType w:val="hybridMultilevel"/>
    <w:tmpl w:val="B36268A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B365E6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B7C7F"/>
    <w:multiLevelType w:val="hybridMultilevel"/>
    <w:tmpl w:val="DAD4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D630E"/>
    <w:multiLevelType w:val="hybridMultilevel"/>
    <w:tmpl w:val="EFC2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79C3"/>
    <w:multiLevelType w:val="hybridMultilevel"/>
    <w:tmpl w:val="FFD2C25A"/>
    <w:lvl w:ilvl="0" w:tplc="18A6E03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583B96"/>
    <w:multiLevelType w:val="hybridMultilevel"/>
    <w:tmpl w:val="694C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50C"/>
    <w:multiLevelType w:val="hybridMultilevel"/>
    <w:tmpl w:val="25AC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C31C8"/>
    <w:multiLevelType w:val="hybridMultilevel"/>
    <w:tmpl w:val="0FEE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7160B"/>
    <w:multiLevelType w:val="hybridMultilevel"/>
    <w:tmpl w:val="B98A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5FDC"/>
    <w:multiLevelType w:val="hybridMultilevel"/>
    <w:tmpl w:val="6C0A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11776"/>
    <w:multiLevelType w:val="hybridMultilevel"/>
    <w:tmpl w:val="6B2E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A43B2"/>
    <w:multiLevelType w:val="hybridMultilevel"/>
    <w:tmpl w:val="72C8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4C0"/>
    <w:multiLevelType w:val="hybridMultilevel"/>
    <w:tmpl w:val="77CC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4A68"/>
    <w:multiLevelType w:val="hybridMultilevel"/>
    <w:tmpl w:val="EF925D54"/>
    <w:lvl w:ilvl="0" w:tplc="BA4EBE3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C4F84"/>
    <w:multiLevelType w:val="hybridMultilevel"/>
    <w:tmpl w:val="14F680F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48D6"/>
    <w:multiLevelType w:val="hybridMultilevel"/>
    <w:tmpl w:val="C09A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F5E27"/>
    <w:multiLevelType w:val="hybridMultilevel"/>
    <w:tmpl w:val="5F84DDBC"/>
    <w:lvl w:ilvl="0" w:tplc="1940F8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B434C"/>
    <w:multiLevelType w:val="hybridMultilevel"/>
    <w:tmpl w:val="E54C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962D4"/>
    <w:multiLevelType w:val="hybridMultilevel"/>
    <w:tmpl w:val="220C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D010C"/>
    <w:multiLevelType w:val="hybridMultilevel"/>
    <w:tmpl w:val="1BD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5443F"/>
    <w:multiLevelType w:val="hybridMultilevel"/>
    <w:tmpl w:val="B3E8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006C0"/>
    <w:multiLevelType w:val="hybridMultilevel"/>
    <w:tmpl w:val="FCA6242C"/>
    <w:lvl w:ilvl="0" w:tplc="E5A0BB1E">
      <w:numFmt w:val="bullet"/>
      <w:lvlText w:val="-"/>
      <w:lvlJc w:val="left"/>
      <w:pPr>
        <w:tabs>
          <w:tab w:val="num" w:pos="720"/>
        </w:tabs>
        <w:ind w:left="720" w:hanging="360"/>
      </w:pPr>
      <w:rPr>
        <w:rFonts w:ascii="Times New Roman" w:eastAsia="Times New Roman"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403DD"/>
    <w:multiLevelType w:val="hybridMultilevel"/>
    <w:tmpl w:val="C960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22C02"/>
    <w:multiLevelType w:val="hybridMultilevel"/>
    <w:tmpl w:val="13EA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952609">
    <w:abstractNumId w:val="19"/>
  </w:num>
  <w:num w:numId="2" w16cid:durableId="1620796095">
    <w:abstractNumId w:val="22"/>
  </w:num>
  <w:num w:numId="3" w16cid:durableId="1643388771">
    <w:abstractNumId w:val="20"/>
  </w:num>
  <w:num w:numId="4" w16cid:durableId="1593470841">
    <w:abstractNumId w:val="1"/>
  </w:num>
  <w:num w:numId="5" w16cid:durableId="976834212">
    <w:abstractNumId w:val="15"/>
  </w:num>
  <w:num w:numId="6" w16cid:durableId="1274940252">
    <w:abstractNumId w:val="0"/>
  </w:num>
  <w:num w:numId="7" w16cid:durableId="1849832420">
    <w:abstractNumId w:val="3"/>
  </w:num>
  <w:num w:numId="8" w16cid:durableId="1462846237">
    <w:abstractNumId w:val="12"/>
  </w:num>
  <w:num w:numId="9" w16cid:durableId="1238242587">
    <w:abstractNumId w:val="21"/>
  </w:num>
  <w:num w:numId="10" w16cid:durableId="769666459">
    <w:abstractNumId w:val="14"/>
  </w:num>
  <w:num w:numId="11" w16cid:durableId="1186942392">
    <w:abstractNumId w:val="11"/>
  </w:num>
  <w:num w:numId="12" w16cid:durableId="602996939">
    <w:abstractNumId w:val="16"/>
  </w:num>
  <w:num w:numId="13" w16cid:durableId="1392383539">
    <w:abstractNumId w:val="6"/>
  </w:num>
  <w:num w:numId="14" w16cid:durableId="1148522087">
    <w:abstractNumId w:val="7"/>
  </w:num>
  <w:num w:numId="15" w16cid:durableId="1216045108">
    <w:abstractNumId w:val="8"/>
  </w:num>
  <w:num w:numId="16" w16cid:durableId="1987852871">
    <w:abstractNumId w:val="9"/>
  </w:num>
  <w:num w:numId="17" w16cid:durableId="1266502452">
    <w:abstractNumId w:val="2"/>
  </w:num>
  <w:num w:numId="18" w16cid:durableId="205338988">
    <w:abstractNumId w:val="10"/>
  </w:num>
  <w:num w:numId="19" w16cid:durableId="1523930246">
    <w:abstractNumId w:val="5"/>
  </w:num>
  <w:num w:numId="20" w16cid:durableId="691029948">
    <w:abstractNumId w:val="13"/>
  </w:num>
  <w:num w:numId="21" w16cid:durableId="1319386861">
    <w:abstractNumId w:val="5"/>
  </w:num>
  <w:num w:numId="22" w16cid:durableId="666715560">
    <w:abstractNumId w:val="17"/>
  </w:num>
  <w:num w:numId="23" w16cid:durableId="836573684">
    <w:abstractNumId w:val="4"/>
  </w:num>
  <w:num w:numId="24" w16cid:durableId="1663578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CF"/>
    <w:rsid w:val="00002F0F"/>
    <w:rsid w:val="00003B3B"/>
    <w:rsid w:val="00012665"/>
    <w:rsid w:val="000250C6"/>
    <w:rsid w:val="00025BB4"/>
    <w:rsid w:val="0002607A"/>
    <w:rsid w:val="000266A6"/>
    <w:rsid w:val="00032FD3"/>
    <w:rsid w:val="00037E8D"/>
    <w:rsid w:val="00040939"/>
    <w:rsid w:val="000478C4"/>
    <w:rsid w:val="000524D6"/>
    <w:rsid w:val="00055585"/>
    <w:rsid w:val="000557DD"/>
    <w:rsid w:val="00060216"/>
    <w:rsid w:val="00062E83"/>
    <w:rsid w:val="00067D49"/>
    <w:rsid w:val="00071784"/>
    <w:rsid w:val="000736FB"/>
    <w:rsid w:val="00075D76"/>
    <w:rsid w:val="000776EB"/>
    <w:rsid w:val="000803A3"/>
    <w:rsid w:val="00084171"/>
    <w:rsid w:val="00085680"/>
    <w:rsid w:val="00093FBB"/>
    <w:rsid w:val="000A2C4B"/>
    <w:rsid w:val="000B569A"/>
    <w:rsid w:val="000B700C"/>
    <w:rsid w:val="000C1558"/>
    <w:rsid w:val="000C51CF"/>
    <w:rsid w:val="000D329F"/>
    <w:rsid w:val="000D4FA8"/>
    <w:rsid w:val="000E2E87"/>
    <w:rsid w:val="000F49A9"/>
    <w:rsid w:val="000F763A"/>
    <w:rsid w:val="001013A4"/>
    <w:rsid w:val="00111DB9"/>
    <w:rsid w:val="00120B1F"/>
    <w:rsid w:val="00125EB8"/>
    <w:rsid w:val="0012761E"/>
    <w:rsid w:val="001313A9"/>
    <w:rsid w:val="00131657"/>
    <w:rsid w:val="001358CF"/>
    <w:rsid w:val="00137203"/>
    <w:rsid w:val="001403AC"/>
    <w:rsid w:val="0014057E"/>
    <w:rsid w:val="00142798"/>
    <w:rsid w:val="001427F5"/>
    <w:rsid w:val="001516E8"/>
    <w:rsid w:val="00152108"/>
    <w:rsid w:val="00153936"/>
    <w:rsid w:val="00155927"/>
    <w:rsid w:val="0016755D"/>
    <w:rsid w:val="0016764D"/>
    <w:rsid w:val="00175A01"/>
    <w:rsid w:val="001763E6"/>
    <w:rsid w:val="00176623"/>
    <w:rsid w:val="0018274C"/>
    <w:rsid w:val="00182822"/>
    <w:rsid w:val="00190798"/>
    <w:rsid w:val="001A410F"/>
    <w:rsid w:val="001A6DAA"/>
    <w:rsid w:val="001B12C5"/>
    <w:rsid w:val="001B3F8C"/>
    <w:rsid w:val="001C05D9"/>
    <w:rsid w:val="001C1E17"/>
    <w:rsid w:val="001C595F"/>
    <w:rsid w:val="001D59AF"/>
    <w:rsid w:val="001D6949"/>
    <w:rsid w:val="001E24B4"/>
    <w:rsid w:val="001E47D4"/>
    <w:rsid w:val="001E4F5D"/>
    <w:rsid w:val="001F0A0A"/>
    <w:rsid w:val="001F750F"/>
    <w:rsid w:val="00202AD6"/>
    <w:rsid w:val="0020399C"/>
    <w:rsid w:val="0020583D"/>
    <w:rsid w:val="00210499"/>
    <w:rsid w:val="00216352"/>
    <w:rsid w:val="002674EA"/>
    <w:rsid w:val="00273020"/>
    <w:rsid w:val="00274C3A"/>
    <w:rsid w:val="002770E0"/>
    <w:rsid w:val="00287120"/>
    <w:rsid w:val="00290F8B"/>
    <w:rsid w:val="00291D08"/>
    <w:rsid w:val="0029446A"/>
    <w:rsid w:val="002955BF"/>
    <w:rsid w:val="002A06EA"/>
    <w:rsid w:val="002A1F93"/>
    <w:rsid w:val="002A7150"/>
    <w:rsid w:val="002A7448"/>
    <w:rsid w:val="002B0FA9"/>
    <w:rsid w:val="002B1C3E"/>
    <w:rsid w:val="002B4127"/>
    <w:rsid w:val="002B59CA"/>
    <w:rsid w:val="002C45B8"/>
    <w:rsid w:val="002D1705"/>
    <w:rsid w:val="002D5F4B"/>
    <w:rsid w:val="002E1430"/>
    <w:rsid w:val="002E71D5"/>
    <w:rsid w:val="002F07EC"/>
    <w:rsid w:val="00301205"/>
    <w:rsid w:val="00303DE8"/>
    <w:rsid w:val="00304DBC"/>
    <w:rsid w:val="00307462"/>
    <w:rsid w:val="0031147D"/>
    <w:rsid w:val="00325391"/>
    <w:rsid w:val="003318D4"/>
    <w:rsid w:val="00335B6E"/>
    <w:rsid w:val="00352F26"/>
    <w:rsid w:val="003569D5"/>
    <w:rsid w:val="00364E2D"/>
    <w:rsid w:val="00365A71"/>
    <w:rsid w:val="00370327"/>
    <w:rsid w:val="003720D8"/>
    <w:rsid w:val="003736E0"/>
    <w:rsid w:val="00373829"/>
    <w:rsid w:val="00381DDF"/>
    <w:rsid w:val="003826CB"/>
    <w:rsid w:val="0039731B"/>
    <w:rsid w:val="00397B94"/>
    <w:rsid w:val="003A2CC2"/>
    <w:rsid w:val="003B38EE"/>
    <w:rsid w:val="003B6B3F"/>
    <w:rsid w:val="003C0243"/>
    <w:rsid w:val="003C1FEE"/>
    <w:rsid w:val="003C2825"/>
    <w:rsid w:val="003C6273"/>
    <w:rsid w:val="003D5241"/>
    <w:rsid w:val="003E7FD7"/>
    <w:rsid w:val="003F041F"/>
    <w:rsid w:val="003F45BA"/>
    <w:rsid w:val="003F4872"/>
    <w:rsid w:val="003F674E"/>
    <w:rsid w:val="00405278"/>
    <w:rsid w:val="004057D5"/>
    <w:rsid w:val="004132F2"/>
    <w:rsid w:val="00414727"/>
    <w:rsid w:val="004171CC"/>
    <w:rsid w:val="00423984"/>
    <w:rsid w:val="004347CE"/>
    <w:rsid w:val="00435DFD"/>
    <w:rsid w:val="00436670"/>
    <w:rsid w:val="004503DD"/>
    <w:rsid w:val="00454E22"/>
    <w:rsid w:val="004613E9"/>
    <w:rsid w:val="004664B5"/>
    <w:rsid w:val="00470EFF"/>
    <w:rsid w:val="0048367A"/>
    <w:rsid w:val="004927A5"/>
    <w:rsid w:val="004927C2"/>
    <w:rsid w:val="004948AF"/>
    <w:rsid w:val="004A0611"/>
    <w:rsid w:val="004A0DF5"/>
    <w:rsid w:val="004B0A8D"/>
    <w:rsid w:val="004B33CA"/>
    <w:rsid w:val="004B43E3"/>
    <w:rsid w:val="004C5106"/>
    <w:rsid w:val="004C5DD1"/>
    <w:rsid w:val="004D0FDE"/>
    <w:rsid w:val="004D357D"/>
    <w:rsid w:val="004D4B3A"/>
    <w:rsid w:val="004E264B"/>
    <w:rsid w:val="004E418F"/>
    <w:rsid w:val="004E58EE"/>
    <w:rsid w:val="004E69B0"/>
    <w:rsid w:val="004F0011"/>
    <w:rsid w:val="004F387F"/>
    <w:rsid w:val="004F4BBA"/>
    <w:rsid w:val="004F5435"/>
    <w:rsid w:val="004F57E1"/>
    <w:rsid w:val="004F7201"/>
    <w:rsid w:val="00501496"/>
    <w:rsid w:val="00501FE4"/>
    <w:rsid w:val="0050411F"/>
    <w:rsid w:val="00504340"/>
    <w:rsid w:val="0051110F"/>
    <w:rsid w:val="005144FD"/>
    <w:rsid w:val="00515B63"/>
    <w:rsid w:val="005240C1"/>
    <w:rsid w:val="005274F9"/>
    <w:rsid w:val="00530DBB"/>
    <w:rsid w:val="00533F79"/>
    <w:rsid w:val="0053567C"/>
    <w:rsid w:val="0053790A"/>
    <w:rsid w:val="00545AAF"/>
    <w:rsid w:val="00555890"/>
    <w:rsid w:val="005671AB"/>
    <w:rsid w:val="00572C73"/>
    <w:rsid w:val="00576400"/>
    <w:rsid w:val="0057782F"/>
    <w:rsid w:val="00585F06"/>
    <w:rsid w:val="0058739C"/>
    <w:rsid w:val="00594C37"/>
    <w:rsid w:val="00596CDC"/>
    <w:rsid w:val="005A2F68"/>
    <w:rsid w:val="005A56CD"/>
    <w:rsid w:val="005A6CE7"/>
    <w:rsid w:val="005B2D21"/>
    <w:rsid w:val="005C328B"/>
    <w:rsid w:val="005C469B"/>
    <w:rsid w:val="005C73B7"/>
    <w:rsid w:val="005D6332"/>
    <w:rsid w:val="005D79FC"/>
    <w:rsid w:val="005E45EE"/>
    <w:rsid w:val="005E6457"/>
    <w:rsid w:val="005E7C7D"/>
    <w:rsid w:val="005F18A8"/>
    <w:rsid w:val="005F2749"/>
    <w:rsid w:val="005F2C3B"/>
    <w:rsid w:val="005F561A"/>
    <w:rsid w:val="005F7F8C"/>
    <w:rsid w:val="006163F4"/>
    <w:rsid w:val="0061782F"/>
    <w:rsid w:val="00620005"/>
    <w:rsid w:val="00621B3A"/>
    <w:rsid w:val="00624654"/>
    <w:rsid w:val="00631BD4"/>
    <w:rsid w:val="00637197"/>
    <w:rsid w:val="00640CC0"/>
    <w:rsid w:val="00640DE9"/>
    <w:rsid w:val="00641030"/>
    <w:rsid w:val="00642785"/>
    <w:rsid w:val="006437CF"/>
    <w:rsid w:val="00643E8E"/>
    <w:rsid w:val="00651824"/>
    <w:rsid w:val="006530E8"/>
    <w:rsid w:val="0065467F"/>
    <w:rsid w:val="006634B8"/>
    <w:rsid w:val="00664695"/>
    <w:rsid w:val="006660DA"/>
    <w:rsid w:val="0067082B"/>
    <w:rsid w:val="00672C60"/>
    <w:rsid w:val="006760D3"/>
    <w:rsid w:val="00677905"/>
    <w:rsid w:val="00677CAC"/>
    <w:rsid w:val="00680138"/>
    <w:rsid w:val="0068159E"/>
    <w:rsid w:val="00682F8D"/>
    <w:rsid w:val="00690459"/>
    <w:rsid w:val="00690F94"/>
    <w:rsid w:val="006922F7"/>
    <w:rsid w:val="006974C4"/>
    <w:rsid w:val="0069778F"/>
    <w:rsid w:val="006B20D5"/>
    <w:rsid w:val="006B4B9F"/>
    <w:rsid w:val="006C3C22"/>
    <w:rsid w:val="006C5BDD"/>
    <w:rsid w:val="006D5A96"/>
    <w:rsid w:val="006E0488"/>
    <w:rsid w:val="006E71D2"/>
    <w:rsid w:val="006E7E35"/>
    <w:rsid w:val="006F7394"/>
    <w:rsid w:val="007032B2"/>
    <w:rsid w:val="0071054D"/>
    <w:rsid w:val="00712B36"/>
    <w:rsid w:val="007159FC"/>
    <w:rsid w:val="0072686E"/>
    <w:rsid w:val="00726D8C"/>
    <w:rsid w:val="00731839"/>
    <w:rsid w:val="00732612"/>
    <w:rsid w:val="00733ABE"/>
    <w:rsid w:val="00734AE7"/>
    <w:rsid w:val="00744CDB"/>
    <w:rsid w:val="00746F95"/>
    <w:rsid w:val="00750B13"/>
    <w:rsid w:val="00754740"/>
    <w:rsid w:val="007561D6"/>
    <w:rsid w:val="00757F0A"/>
    <w:rsid w:val="00760A37"/>
    <w:rsid w:val="007678C5"/>
    <w:rsid w:val="0077641E"/>
    <w:rsid w:val="007804DA"/>
    <w:rsid w:val="007806F8"/>
    <w:rsid w:val="0078358A"/>
    <w:rsid w:val="00786E7A"/>
    <w:rsid w:val="007934A3"/>
    <w:rsid w:val="00793EEE"/>
    <w:rsid w:val="007B0465"/>
    <w:rsid w:val="007B418D"/>
    <w:rsid w:val="007B6CEC"/>
    <w:rsid w:val="007B7D3D"/>
    <w:rsid w:val="007C40AE"/>
    <w:rsid w:val="007C5C49"/>
    <w:rsid w:val="007D3852"/>
    <w:rsid w:val="007D3E71"/>
    <w:rsid w:val="007D7080"/>
    <w:rsid w:val="007E1064"/>
    <w:rsid w:val="007E1855"/>
    <w:rsid w:val="007E34EE"/>
    <w:rsid w:val="007E662B"/>
    <w:rsid w:val="007E6F7A"/>
    <w:rsid w:val="007E7934"/>
    <w:rsid w:val="00802331"/>
    <w:rsid w:val="0080566E"/>
    <w:rsid w:val="00816D2C"/>
    <w:rsid w:val="008175B0"/>
    <w:rsid w:val="00820EC6"/>
    <w:rsid w:val="008210C3"/>
    <w:rsid w:val="008232C7"/>
    <w:rsid w:val="008246A3"/>
    <w:rsid w:val="008277DF"/>
    <w:rsid w:val="008333AC"/>
    <w:rsid w:val="00834919"/>
    <w:rsid w:val="00846EC6"/>
    <w:rsid w:val="00850B66"/>
    <w:rsid w:val="00852C20"/>
    <w:rsid w:val="00855E52"/>
    <w:rsid w:val="00860881"/>
    <w:rsid w:val="0086096D"/>
    <w:rsid w:val="008649E3"/>
    <w:rsid w:val="0087349A"/>
    <w:rsid w:val="008736EE"/>
    <w:rsid w:val="0087574B"/>
    <w:rsid w:val="00880B8E"/>
    <w:rsid w:val="00883372"/>
    <w:rsid w:val="0088579F"/>
    <w:rsid w:val="00895BA1"/>
    <w:rsid w:val="008A1C63"/>
    <w:rsid w:val="008B0038"/>
    <w:rsid w:val="008B1FAC"/>
    <w:rsid w:val="008B541E"/>
    <w:rsid w:val="008B62AD"/>
    <w:rsid w:val="008C0805"/>
    <w:rsid w:val="008C2057"/>
    <w:rsid w:val="008D637C"/>
    <w:rsid w:val="008D674F"/>
    <w:rsid w:val="008D7E14"/>
    <w:rsid w:val="008E2D07"/>
    <w:rsid w:val="008E5A34"/>
    <w:rsid w:val="008F186E"/>
    <w:rsid w:val="008F3898"/>
    <w:rsid w:val="008F49A8"/>
    <w:rsid w:val="008F78C0"/>
    <w:rsid w:val="00901542"/>
    <w:rsid w:val="00902398"/>
    <w:rsid w:val="009113D8"/>
    <w:rsid w:val="00923268"/>
    <w:rsid w:val="00923665"/>
    <w:rsid w:val="00923FE3"/>
    <w:rsid w:val="00926789"/>
    <w:rsid w:val="009273DA"/>
    <w:rsid w:val="00934BAB"/>
    <w:rsid w:val="00937455"/>
    <w:rsid w:val="00942556"/>
    <w:rsid w:val="00943590"/>
    <w:rsid w:val="00945038"/>
    <w:rsid w:val="009461E2"/>
    <w:rsid w:val="00952C65"/>
    <w:rsid w:val="00954BD3"/>
    <w:rsid w:val="00956E34"/>
    <w:rsid w:val="00960145"/>
    <w:rsid w:val="009709DE"/>
    <w:rsid w:val="00984CEA"/>
    <w:rsid w:val="0099521D"/>
    <w:rsid w:val="0099659C"/>
    <w:rsid w:val="009A077E"/>
    <w:rsid w:val="009A1812"/>
    <w:rsid w:val="009B13CA"/>
    <w:rsid w:val="009B2FB3"/>
    <w:rsid w:val="009B4283"/>
    <w:rsid w:val="009B4556"/>
    <w:rsid w:val="009D733C"/>
    <w:rsid w:val="009E4E02"/>
    <w:rsid w:val="009E67EA"/>
    <w:rsid w:val="009F1A63"/>
    <w:rsid w:val="009F202C"/>
    <w:rsid w:val="00A01369"/>
    <w:rsid w:val="00A02E07"/>
    <w:rsid w:val="00A04E88"/>
    <w:rsid w:val="00A06523"/>
    <w:rsid w:val="00A07BE7"/>
    <w:rsid w:val="00A11205"/>
    <w:rsid w:val="00A1740E"/>
    <w:rsid w:val="00A27E02"/>
    <w:rsid w:val="00A42938"/>
    <w:rsid w:val="00A42E3F"/>
    <w:rsid w:val="00A52A06"/>
    <w:rsid w:val="00A5590F"/>
    <w:rsid w:val="00A57C9F"/>
    <w:rsid w:val="00A72889"/>
    <w:rsid w:val="00A758C9"/>
    <w:rsid w:val="00A77718"/>
    <w:rsid w:val="00A842A6"/>
    <w:rsid w:val="00A86075"/>
    <w:rsid w:val="00A92497"/>
    <w:rsid w:val="00AA027E"/>
    <w:rsid w:val="00AA76F4"/>
    <w:rsid w:val="00AB3026"/>
    <w:rsid w:val="00AC1F5F"/>
    <w:rsid w:val="00AC49C0"/>
    <w:rsid w:val="00AC529C"/>
    <w:rsid w:val="00AC6153"/>
    <w:rsid w:val="00AE306A"/>
    <w:rsid w:val="00AE3B60"/>
    <w:rsid w:val="00AF4FA2"/>
    <w:rsid w:val="00AF507C"/>
    <w:rsid w:val="00AF732C"/>
    <w:rsid w:val="00B00B72"/>
    <w:rsid w:val="00B0577D"/>
    <w:rsid w:val="00B170E6"/>
    <w:rsid w:val="00B207BF"/>
    <w:rsid w:val="00B20F01"/>
    <w:rsid w:val="00B27A5B"/>
    <w:rsid w:val="00B34D33"/>
    <w:rsid w:val="00B442F0"/>
    <w:rsid w:val="00B4644F"/>
    <w:rsid w:val="00B46CDC"/>
    <w:rsid w:val="00B47BC5"/>
    <w:rsid w:val="00B5161A"/>
    <w:rsid w:val="00B53692"/>
    <w:rsid w:val="00B6181E"/>
    <w:rsid w:val="00B73195"/>
    <w:rsid w:val="00B77711"/>
    <w:rsid w:val="00B84631"/>
    <w:rsid w:val="00B90005"/>
    <w:rsid w:val="00B90186"/>
    <w:rsid w:val="00B94137"/>
    <w:rsid w:val="00BA0A51"/>
    <w:rsid w:val="00BA48C3"/>
    <w:rsid w:val="00BA745A"/>
    <w:rsid w:val="00BC4F97"/>
    <w:rsid w:val="00BD4D96"/>
    <w:rsid w:val="00BE260B"/>
    <w:rsid w:val="00BE2E33"/>
    <w:rsid w:val="00BF036D"/>
    <w:rsid w:val="00BF12DF"/>
    <w:rsid w:val="00BF7DD7"/>
    <w:rsid w:val="00C010DA"/>
    <w:rsid w:val="00C04E94"/>
    <w:rsid w:val="00C11083"/>
    <w:rsid w:val="00C11295"/>
    <w:rsid w:val="00C20120"/>
    <w:rsid w:val="00C20DA8"/>
    <w:rsid w:val="00C26792"/>
    <w:rsid w:val="00C33BF2"/>
    <w:rsid w:val="00C348F5"/>
    <w:rsid w:val="00C35D9C"/>
    <w:rsid w:val="00C37114"/>
    <w:rsid w:val="00C44802"/>
    <w:rsid w:val="00C47945"/>
    <w:rsid w:val="00C50575"/>
    <w:rsid w:val="00C639EB"/>
    <w:rsid w:val="00C6432D"/>
    <w:rsid w:val="00C6540E"/>
    <w:rsid w:val="00C66628"/>
    <w:rsid w:val="00C677FB"/>
    <w:rsid w:val="00C849A1"/>
    <w:rsid w:val="00C974D1"/>
    <w:rsid w:val="00CA260E"/>
    <w:rsid w:val="00CA2F17"/>
    <w:rsid w:val="00CB0868"/>
    <w:rsid w:val="00CB1FBC"/>
    <w:rsid w:val="00CB566F"/>
    <w:rsid w:val="00CB7234"/>
    <w:rsid w:val="00CC722C"/>
    <w:rsid w:val="00CD3200"/>
    <w:rsid w:val="00CD4675"/>
    <w:rsid w:val="00CD6CA4"/>
    <w:rsid w:val="00CF0947"/>
    <w:rsid w:val="00CF1E6D"/>
    <w:rsid w:val="00D0102F"/>
    <w:rsid w:val="00D01134"/>
    <w:rsid w:val="00D100E6"/>
    <w:rsid w:val="00D10D13"/>
    <w:rsid w:val="00D13F24"/>
    <w:rsid w:val="00D16D78"/>
    <w:rsid w:val="00D2016D"/>
    <w:rsid w:val="00D2485E"/>
    <w:rsid w:val="00D3255D"/>
    <w:rsid w:val="00D37F6F"/>
    <w:rsid w:val="00D524C5"/>
    <w:rsid w:val="00D55D46"/>
    <w:rsid w:val="00D56CEF"/>
    <w:rsid w:val="00D5794E"/>
    <w:rsid w:val="00D62EAC"/>
    <w:rsid w:val="00D63670"/>
    <w:rsid w:val="00D73825"/>
    <w:rsid w:val="00D74573"/>
    <w:rsid w:val="00D75039"/>
    <w:rsid w:val="00D768E9"/>
    <w:rsid w:val="00D81078"/>
    <w:rsid w:val="00D85417"/>
    <w:rsid w:val="00D86D12"/>
    <w:rsid w:val="00D946A9"/>
    <w:rsid w:val="00D94A94"/>
    <w:rsid w:val="00DA0E26"/>
    <w:rsid w:val="00DA219E"/>
    <w:rsid w:val="00DA771D"/>
    <w:rsid w:val="00DB0D21"/>
    <w:rsid w:val="00DC003B"/>
    <w:rsid w:val="00DD1FA8"/>
    <w:rsid w:val="00DD23B3"/>
    <w:rsid w:val="00DF22F2"/>
    <w:rsid w:val="00DF299B"/>
    <w:rsid w:val="00DF3E1C"/>
    <w:rsid w:val="00DF742F"/>
    <w:rsid w:val="00E01A1B"/>
    <w:rsid w:val="00E061D0"/>
    <w:rsid w:val="00E062D4"/>
    <w:rsid w:val="00E075BF"/>
    <w:rsid w:val="00E10DBD"/>
    <w:rsid w:val="00E12D27"/>
    <w:rsid w:val="00E13E2E"/>
    <w:rsid w:val="00E15633"/>
    <w:rsid w:val="00E30D2C"/>
    <w:rsid w:val="00E31B75"/>
    <w:rsid w:val="00E41BE1"/>
    <w:rsid w:val="00E433FA"/>
    <w:rsid w:val="00E465AE"/>
    <w:rsid w:val="00E53A89"/>
    <w:rsid w:val="00E5443A"/>
    <w:rsid w:val="00E57EA3"/>
    <w:rsid w:val="00E60256"/>
    <w:rsid w:val="00E66D1A"/>
    <w:rsid w:val="00E67DBE"/>
    <w:rsid w:val="00E718DB"/>
    <w:rsid w:val="00E72DD9"/>
    <w:rsid w:val="00E83594"/>
    <w:rsid w:val="00E86652"/>
    <w:rsid w:val="00E93E01"/>
    <w:rsid w:val="00E9666A"/>
    <w:rsid w:val="00E96835"/>
    <w:rsid w:val="00EA16A1"/>
    <w:rsid w:val="00EA1A90"/>
    <w:rsid w:val="00EB6877"/>
    <w:rsid w:val="00EB6E07"/>
    <w:rsid w:val="00EB74EC"/>
    <w:rsid w:val="00EB77FA"/>
    <w:rsid w:val="00EB7E1B"/>
    <w:rsid w:val="00EC2CE3"/>
    <w:rsid w:val="00EC41BD"/>
    <w:rsid w:val="00EC51BD"/>
    <w:rsid w:val="00ED1271"/>
    <w:rsid w:val="00ED43D3"/>
    <w:rsid w:val="00ED6748"/>
    <w:rsid w:val="00EF1451"/>
    <w:rsid w:val="00F014D4"/>
    <w:rsid w:val="00F03BA6"/>
    <w:rsid w:val="00F0608D"/>
    <w:rsid w:val="00F10C1B"/>
    <w:rsid w:val="00F145E1"/>
    <w:rsid w:val="00F14801"/>
    <w:rsid w:val="00F1654A"/>
    <w:rsid w:val="00F31A83"/>
    <w:rsid w:val="00F41EA7"/>
    <w:rsid w:val="00F44797"/>
    <w:rsid w:val="00F45801"/>
    <w:rsid w:val="00F51165"/>
    <w:rsid w:val="00F52544"/>
    <w:rsid w:val="00F53B64"/>
    <w:rsid w:val="00F60CEA"/>
    <w:rsid w:val="00F61BD0"/>
    <w:rsid w:val="00F64322"/>
    <w:rsid w:val="00F7227A"/>
    <w:rsid w:val="00F7500F"/>
    <w:rsid w:val="00F93FB9"/>
    <w:rsid w:val="00FA1CF4"/>
    <w:rsid w:val="00FB7A25"/>
    <w:rsid w:val="00FC6D9A"/>
    <w:rsid w:val="00FD1EE3"/>
    <w:rsid w:val="00FD5ED0"/>
    <w:rsid w:val="00FE0515"/>
    <w:rsid w:val="00FE19B7"/>
    <w:rsid w:val="00FE500F"/>
    <w:rsid w:val="00FF19F6"/>
    <w:rsid w:val="00FF7A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C2BE"/>
  <w15:docId w15:val="{61BC9068-1198-4014-8F9A-CE6E91D4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D4"/>
  </w:style>
  <w:style w:type="paragraph" w:styleId="Heading1">
    <w:name w:val="heading 1"/>
    <w:basedOn w:val="Normal"/>
    <w:next w:val="Normal"/>
    <w:link w:val="Heading1Char"/>
    <w:uiPriority w:val="9"/>
    <w:qFormat/>
    <w:rsid w:val="001539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1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7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7CF"/>
    <w:rPr>
      <w:color w:val="0000FF" w:themeColor="hyperlink"/>
      <w:u w:val="single"/>
    </w:rPr>
  </w:style>
  <w:style w:type="paragraph" w:styleId="ListParagraph">
    <w:name w:val="List Paragraph"/>
    <w:basedOn w:val="Normal"/>
    <w:uiPriority w:val="34"/>
    <w:qFormat/>
    <w:rsid w:val="004A0611"/>
    <w:pPr>
      <w:ind w:left="720"/>
      <w:contextualSpacing/>
    </w:pPr>
  </w:style>
  <w:style w:type="character" w:customStyle="1" w:styleId="Heading2Char">
    <w:name w:val="Heading 2 Char"/>
    <w:basedOn w:val="DefaultParagraphFont"/>
    <w:link w:val="Heading2"/>
    <w:uiPriority w:val="9"/>
    <w:rsid w:val="001C1E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EA"/>
    <w:rPr>
      <w:rFonts w:ascii="Tahoma" w:hAnsi="Tahoma" w:cs="Tahoma"/>
      <w:sz w:val="16"/>
      <w:szCs w:val="16"/>
    </w:rPr>
  </w:style>
  <w:style w:type="character" w:styleId="FollowedHyperlink">
    <w:name w:val="FollowedHyperlink"/>
    <w:basedOn w:val="DefaultParagraphFont"/>
    <w:uiPriority w:val="99"/>
    <w:semiHidden/>
    <w:unhideWhenUsed/>
    <w:rsid w:val="00DB0D21"/>
    <w:rPr>
      <w:color w:val="800080" w:themeColor="followedHyperlink"/>
      <w:u w:val="single"/>
    </w:rPr>
  </w:style>
  <w:style w:type="paragraph" w:styleId="Header">
    <w:name w:val="header"/>
    <w:basedOn w:val="Normal"/>
    <w:link w:val="HeaderChar"/>
    <w:uiPriority w:val="99"/>
    <w:unhideWhenUsed/>
    <w:rsid w:val="00B94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37"/>
  </w:style>
  <w:style w:type="paragraph" w:styleId="Footer">
    <w:name w:val="footer"/>
    <w:basedOn w:val="Normal"/>
    <w:link w:val="FooterChar"/>
    <w:uiPriority w:val="99"/>
    <w:unhideWhenUsed/>
    <w:rsid w:val="00B94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37"/>
  </w:style>
  <w:style w:type="paragraph" w:customStyle="1" w:styleId="Normal1">
    <w:name w:val="Normal1"/>
    <w:basedOn w:val="Normal"/>
    <w:rsid w:val="00140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14057E"/>
  </w:style>
  <w:style w:type="character" w:customStyle="1" w:styleId="Heading1Char">
    <w:name w:val="Heading 1 Char"/>
    <w:basedOn w:val="DefaultParagraphFont"/>
    <w:link w:val="Heading1"/>
    <w:uiPriority w:val="9"/>
    <w:rsid w:val="0015393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2485E"/>
    <w:rPr>
      <w:sz w:val="16"/>
      <w:szCs w:val="16"/>
    </w:rPr>
  </w:style>
  <w:style w:type="paragraph" w:styleId="CommentText">
    <w:name w:val="annotation text"/>
    <w:basedOn w:val="Normal"/>
    <w:link w:val="CommentTextChar"/>
    <w:uiPriority w:val="99"/>
    <w:semiHidden/>
    <w:unhideWhenUsed/>
    <w:rsid w:val="00D2485E"/>
    <w:pPr>
      <w:spacing w:line="240" w:lineRule="auto"/>
    </w:pPr>
    <w:rPr>
      <w:sz w:val="20"/>
      <w:szCs w:val="20"/>
    </w:rPr>
  </w:style>
  <w:style w:type="character" w:customStyle="1" w:styleId="CommentTextChar">
    <w:name w:val="Comment Text Char"/>
    <w:basedOn w:val="DefaultParagraphFont"/>
    <w:link w:val="CommentText"/>
    <w:uiPriority w:val="99"/>
    <w:semiHidden/>
    <w:rsid w:val="00D2485E"/>
    <w:rPr>
      <w:sz w:val="20"/>
      <w:szCs w:val="20"/>
    </w:rPr>
  </w:style>
  <w:style w:type="paragraph" w:styleId="CommentSubject">
    <w:name w:val="annotation subject"/>
    <w:basedOn w:val="CommentText"/>
    <w:next w:val="CommentText"/>
    <w:link w:val="CommentSubjectChar"/>
    <w:uiPriority w:val="99"/>
    <w:semiHidden/>
    <w:unhideWhenUsed/>
    <w:rsid w:val="00D2485E"/>
    <w:rPr>
      <w:b/>
      <w:bCs/>
    </w:rPr>
  </w:style>
  <w:style w:type="character" w:customStyle="1" w:styleId="CommentSubjectChar">
    <w:name w:val="Comment Subject Char"/>
    <w:basedOn w:val="CommentTextChar"/>
    <w:link w:val="CommentSubject"/>
    <w:uiPriority w:val="99"/>
    <w:semiHidden/>
    <w:rsid w:val="00D2485E"/>
    <w:rPr>
      <w:b/>
      <w:bCs/>
      <w:sz w:val="20"/>
      <w:szCs w:val="20"/>
    </w:rPr>
  </w:style>
  <w:style w:type="character" w:styleId="UnresolvedMention">
    <w:name w:val="Unresolved Mention"/>
    <w:basedOn w:val="DefaultParagraphFont"/>
    <w:uiPriority w:val="99"/>
    <w:semiHidden/>
    <w:unhideWhenUsed/>
    <w:rsid w:val="00203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3900">
      <w:bodyDiv w:val="1"/>
      <w:marLeft w:val="0"/>
      <w:marRight w:val="0"/>
      <w:marTop w:val="0"/>
      <w:marBottom w:val="0"/>
      <w:divBdr>
        <w:top w:val="none" w:sz="0" w:space="0" w:color="auto"/>
        <w:left w:val="none" w:sz="0" w:space="0" w:color="auto"/>
        <w:bottom w:val="none" w:sz="0" w:space="0" w:color="auto"/>
        <w:right w:val="none" w:sz="0" w:space="0" w:color="auto"/>
      </w:divBdr>
    </w:div>
    <w:div w:id="458451247">
      <w:bodyDiv w:val="1"/>
      <w:marLeft w:val="0"/>
      <w:marRight w:val="0"/>
      <w:marTop w:val="0"/>
      <w:marBottom w:val="0"/>
      <w:divBdr>
        <w:top w:val="none" w:sz="0" w:space="0" w:color="auto"/>
        <w:left w:val="none" w:sz="0" w:space="0" w:color="auto"/>
        <w:bottom w:val="none" w:sz="0" w:space="0" w:color="auto"/>
        <w:right w:val="none" w:sz="0" w:space="0" w:color="auto"/>
      </w:divBdr>
    </w:div>
    <w:div w:id="863401754">
      <w:bodyDiv w:val="1"/>
      <w:marLeft w:val="0"/>
      <w:marRight w:val="0"/>
      <w:marTop w:val="0"/>
      <w:marBottom w:val="0"/>
      <w:divBdr>
        <w:top w:val="none" w:sz="0" w:space="0" w:color="auto"/>
        <w:left w:val="none" w:sz="0" w:space="0" w:color="auto"/>
        <w:bottom w:val="none" w:sz="0" w:space="0" w:color="auto"/>
        <w:right w:val="none" w:sz="0" w:space="0" w:color="auto"/>
      </w:divBdr>
    </w:div>
    <w:div w:id="11727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arningsupport@ufl.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lice.ufl.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ms.uflib.ufl.edu/a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ad/current/regulations/info/attendance.aspx" TargetMode="External"/><Relationship Id="rId5" Type="http://schemas.openxmlformats.org/officeDocument/2006/relationships/webSettings" Target="webSettings.xml"/><Relationship Id="rId15" Type="http://schemas.openxmlformats.org/officeDocument/2006/relationships/hyperlink" Target="http://www.crc.ufl.edu/" TargetMode="External"/><Relationship Id="rId10" Type="http://schemas.openxmlformats.org/officeDocument/2006/relationships/hyperlink" Target="http://www.dso.ufl.edu/dr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hchang@ufl.edu" TargetMode="External"/><Relationship Id="rId14" Type="http://schemas.openxmlformats.org/officeDocument/2006/relationships/hyperlink" Target="https://lss.at.ufl.edu/hel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A887-A5FB-4BFA-BCFB-972F7C58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2383</Words>
  <Characters>13970</Characters>
  <Application>Microsoft Office Word</Application>
  <DocSecurity>0</DocSecurity>
  <Lines>558</Lines>
  <Paragraphs>259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Kaplanidou,Kyriaki</dc:creator>
  <cp:lastModifiedBy>Erny, Jon</cp:lastModifiedBy>
  <cp:revision>3</cp:revision>
  <cp:lastPrinted>2020-01-03T18:17:00Z</cp:lastPrinted>
  <dcterms:created xsi:type="dcterms:W3CDTF">2026-01-07T13:54:00Z</dcterms:created>
  <dcterms:modified xsi:type="dcterms:W3CDTF">2026-01-07T13:54:00Z</dcterms:modified>
</cp:coreProperties>
</file>