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78FC6D42" w:rsidR="00E22DE2" w:rsidRPr="0047592B" w:rsidRDefault="00E72509" w:rsidP="009919C3">
      <w:pPr>
        <w:pStyle w:val="Heading1"/>
        <w:rPr>
          <w14:shadow w14:blurRad="50800" w14:dist="38100" w14:dir="5400000" w14:sx="100000" w14:sy="100000" w14:kx="0" w14:ky="0" w14:algn="t">
            <w14:srgbClr w14:val="000000">
              <w14:alpha w14:val="60000"/>
            </w14:srgbClr>
          </w14:shadow>
        </w:rPr>
      </w:pPr>
      <w:r w:rsidRPr="0047592B">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CC7E88">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E13">
        <w:rPr>
          <w:sz w:val="56"/>
          <w:szCs w:val="24"/>
          <w14:shadow w14:blurRad="50800" w14:dist="38100" w14:dir="5400000" w14:sx="100000" w14:sy="100000" w14:kx="0" w14:ky="0" w14:algn="t">
            <w14:srgbClr w14:val="000000">
              <w14:alpha w14:val="60000"/>
            </w14:srgbClr>
          </w14:shadow>
        </w:rPr>
        <w:t xml:space="preserve"> Professional Development Seminar</w:t>
      </w:r>
    </w:p>
    <w:p w14:paraId="4518C951" w14:textId="52A0BDDC" w:rsidR="00E22DE2" w:rsidRDefault="00E22DE2" w:rsidP="00E22DE2">
      <w:pPr>
        <w:spacing w:line="240" w:lineRule="auto"/>
      </w:pPr>
    </w:p>
    <w:p w14:paraId="342B7FB3" w14:textId="280C358D" w:rsidR="009919C3" w:rsidRDefault="008B0E13" w:rsidP="00887FA8">
      <w:pPr>
        <w:spacing w:after="0"/>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HLP7939</w:t>
      </w:r>
      <w:r w:rsidR="009919C3" w:rsidRPr="0047592B">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Spring 202</w:t>
      </w:r>
      <w:r w:rsidR="009065A1">
        <w:rPr>
          <w:b/>
          <w:bCs/>
          <w:color w:val="FFFFFF" w:themeColor="background1"/>
          <w:sz w:val="32"/>
          <w:szCs w:val="32"/>
          <w14:shadow w14:blurRad="50800" w14:dist="38100" w14:dir="5400000" w14:sx="100000" w14:sy="100000" w14:kx="0" w14:ky="0" w14:algn="t">
            <w14:srgbClr w14:val="000000">
              <w14:alpha w14:val="60000"/>
            </w14:srgbClr>
          </w14:shadow>
        </w:rPr>
        <w:t>6</w:t>
      </w:r>
    </w:p>
    <w:p w14:paraId="770E180B" w14:textId="77777777" w:rsidR="00887FA8" w:rsidRPr="00887FA8" w:rsidRDefault="00887FA8" w:rsidP="00887FA8">
      <w:pPr>
        <w:spacing w:after="120"/>
        <w:rPr>
          <w:color w:val="FFFFFF" w:themeColor="background1"/>
          <w:sz w:val="28"/>
          <w:szCs w:val="28"/>
        </w:rPr>
      </w:pPr>
      <w:r w:rsidRPr="00887FA8">
        <w:rPr>
          <w:color w:val="FFFFFF" w:themeColor="background1"/>
          <w:sz w:val="28"/>
          <w:szCs w:val="28"/>
        </w:rPr>
        <w:t xml:space="preserve">Department of Health Education &amp; Behavior </w:t>
      </w: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A639BE" w14:paraId="37E641E0" w14:textId="77777777" w:rsidTr="00A74CD6">
        <w:trPr>
          <w:trHeight w:val="1719"/>
        </w:trPr>
        <w:tc>
          <w:tcPr>
            <w:tcW w:w="2731" w:type="dxa"/>
          </w:tcPr>
          <w:p w14:paraId="570659FE" w14:textId="77777777" w:rsidR="00A639BE" w:rsidRDefault="00A639BE" w:rsidP="00A639BE">
            <w:pPr>
              <w:pStyle w:val="Heading3"/>
            </w:pPr>
            <w:r w:rsidRPr="008F512E">
              <w:t>INSTRUCTOR</w:t>
            </w:r>
          </w:p>
          <w:p w14:paraId="7A66BA61" w14:textId="77777777" w:rsidR="00887FA8" w:rsidRDefault="00887FA8" w:rsidP="00887FA8"/>
          <w:p w14:paraId="411E3F01" w14:textId="77777777" w:rsidR="00887FA8" w:rsidRDefault="00887FA8" w:rsidP="00887FA8"/>
          <w:p w14:paraId="529A38DD" w14:textId="77777777" w:rsidR="00887FA8" w:rsidRDefault="00887FA8" w:rsidP="00887FA8"/>
          <w:p w14:paraId="4E44734D" w14:textId="77777777" w:rsidR="00887FA8" w:rsidRDefault="00887FA8" w:rsidP="00887FA8"/>
          <w:p w14:paraId="5DA6D072" w14:textId="77777777" w:rsidR="00887FA8" w:rsidRDefault="00887FA8" w:rsidP="00887FA8"/>
          <w:p w14:paraId="45D17418" w14:textId="77777777" w:rsidR="00887FA8" w:rsidRDefault="00887FA8" w:rsidP="00887FA8"/>
          <w:p w14:paraId="28F2F00E" w14:textId="37C04198" w:rsidR="00887FA8" w:rsidRPr="00887FA8" w:rsidRDefault="00887FA8" w:rsidP="00887FA8">
            <w:pPr>
              <w:pStyle w:val="Heading3"/>
            </w:pPr>
            <w:r>
              <w:t>DEPARTMENT CHAIR</w:t>
            </w:r>
          </w:p>
        </w:tc>
        <w:tc>
          <w:tcPr>
            <w:tcW w:w="6640" w:type="dxa"/>
          </w:tcPr>
          <w:p w14:paraId="76983CB7" w14:textId="150B20BB" w:rsidR="00A639BE" w:rsidRPr="00887FA8" w:rsidRDefault="00887FA8" w:rsidP="00A639BE">
            <w:pPr>
              <w:rPr>
                <w:rFonts w:cstheme="minorHAnsi"/>
                <w:b/>
                <w:bCs/>
              </w:rPr>
            </w:pPr>
            <w:r w:rsidRPr="00887FA8">
              <w:rPr>
                <w:rFonts w:cstheme="minorHAnsi"/>
                <w:b/>
                <w:bCs/>
              </w:rPr>
              <w:t xml:space="preserve">Dr. </w:t>
            </w:r>
            <w:r w:rsidR="00295E3A" w:rsidRPr="00887FA8">
              <w:rPr>
                <w:rFonts w:cstheme="minorHAnsi"/>
                <w:b/>
                <w:bCs/>
              </w:rPr>
              <w:t>Danielle Jake-Schoffman</w:t>
            </w:r>
          </w:p>
          <w:p w14:paraId="495E32C3" w14:textId="36749FB0" w:rsidR="00A639BE" w:rsidRPr="00887FA8" w:rsidRDefault="00A639BE" w:rsidP="00A639BE">
            <w:pPr>
              <w:rPr>
                <w:rFonts w:cstheme="minorHAnsi"/>
              </w:rPr>
            </w:pPr>
            <w:r w:rsidRPr="00887FA8">
              <w:rPr>
                <w:rFonts w:cstheme="minorHAnsi"/>
              </w:rPr>
              <w:t xml:space="preserve">Office: </w:t>
            </w:r>
            <w:r w:rsidR="00041802" w:rsidRPr="00887FA8">
              <w:rPr>
                <w:rFonts w:cstheme="minorHAnsi"/>
              </w:rPr>
              <w:t>FLG</w:t>
            </w:r>
            <w:r w:rsidR="00295E3A" w:rsidRPr="00887FA8">
              <w:rPr>
                <w:rFonts w:cstheme="minorHAnsi"/>
              </w:rPr>
              <w:t xml:space="preserve"> 018</w:t>
            </w:r>
          </w:p>
          <w:p w14:paraId="3DCE4D77" w14:textId="3C759B6A" w:rsidR="00A639BE" w:rsidRPr="00887FA8" w:rsidRDefault="00A639BE" w:rsidP="00A639BE">
            <w:pPr>
              <w:rPr>
                <w:rFonts w:cstheme="minorHAnsi"/>
              </w:rPr>
            </w:pPr>
            <w:r w:rsidRPr="00887FA8">
              <w:rPr>
                <w:rFonts w:cstheme="minorHAnsi"/>
              </w:rPr>
              <w:t>Office Phone</w:t>
            </w:r>
            <w:r w:rsidR="00041802" w:rsidRPr="00887FA8">
              <w:rPr>
                <w:rFonts w:cstheme="minorHAnsi"/>
              </w:rPr>
              <w:t>:</w:t>
            </w:r>
            <w:r w:rsidR="00BB1333" w:rsidRPr="00887FA8">
              <w:rPr>
                <w:rFonts w:cstheme="minorHAnsi"/>
              </w:rPr>
              <w:t xml:space="preserve"> (352) 294-16</w:t>
            </w:r>
            <w:r w:rsidR="00295E3A" w:rsidRPr="00887FA8">
              <w:rPr>
                <w:rFonts w:cstheme="minorHAnsi"/>
              </w:rPr>
              <w:t>18</w:t>
            </w:r>
          </w:p>
          <w:p w14:paraId="2E7E93EA" w14:textId="0F92CEC8" w:rsidR="00A639BE" w:rsidRPr="00887FA8" w:rsidRDefault="00A639BE" w:rsidP="00A639BE">
            <w:pPr>
              <w:rPr>
                <w:rFonts w:cstheme="minorHAnsi"/>
              </w:rPr>
            </w:pPr>
            <w:r w:rsidRPr="00887FA8">
              <w:rPr>
                <w:rFonts w:cstheme="minorHAnsi"/>
              </w:rPr>
              <w:t xml:space="preserve">Email: </w:t>
            </w:r>
            <w:r w:rsidR="00295E3A" w:rsidRPr="00887FA8">
              <w:rPr>
                <w:rFonts w:cstheme="minorHAnsi"/>
              </w:rPr>
              <w:t>djakeschoffman</w:t>
            </w:r>
            <w:r w:rsidR="00BB1333" w:rsidRPr="00887FA8">
              <w:rPr>
                <w:rFonts w:cstheme="minorHAnsi"/>
              </w:rPr>
              <w:t>@ufl.edu</w:t>
            </w:r>
          </w:p>
          <w:p w14:paraId="22C87799" w14:textId="5F82ACF1" w:rsidR="00A639BE" w:rsidRPr="00887FA8" w:rsidRDefault="00A639BE" w:rsidP="00A639BE">
            <w:pPr>
              <w:rPr>
                <w:rFonts w:cstheme="minorHAnsi"/>
              </w:rPr>
            </w:pPr>
            <w:r w:rsidRPr="00887FA8">
              <w:rPr>
                <w:rFonts w:cstheme="minorHAnsi"/>
              </w:rPr>
              <w:t>Preferred Method of Contact</w:t>
            </w:r>
            <w:r w:rsidR="00BB1333" w:rsidRPr="00887FA8">
              <w:rPr>
                <w:rFonts w:cstheme="minorHAnsi"/>
              </w:rPr>
              <w:t>: email</w:t>
            </w:r>
          </w:p>
          <w:p w14:paraId="2D806A9A" w14:textId="0CE0C81A" w:rsidR="00CC4AEA" w:rsidRPr="00887FA8" w:rsidRDefault="00CC4AEA" w:rsidP="00A639BE">
            <w:pPr>
              <w:rPr>
                <w:rFonts w:cstheme="minorHAnsi"/>
              </w:rPr>
            </w:pPr>
            <w:r w:rsidRPr="00887FA8">
              <w:rPr>
                <w:rFonts w:cstheme="minorHAnsi"/>
              </w:rPr>
              <w:t xml:space="preserve">Office Hours: By appointment </w:t>
            </w:r>
            <w:r w:rsidR="00960897" w:rsidRPr="00887FA8">
              <w:rPr>
                <w:rFonts w:cstheme="minorHAnsi"/>
              </w:rPr>
              <w:t>via Zoom</w:t>
            </w:r>
          </w:p>
          <w:p w14:paraId="5537EFC7" w14:textId="77777777" w:rsidR="00887FA8" w:rsidRPr="00887FA8" w:rsidRDefault="00887FA8" w:rsidP="00A639BE">
            <w:pPr>
              <w:rPr>
                <w:rFonts w:cstheme="minorHAnsi"/>
              </w:rPr>
            </w:pPr>
          </w:p>
          <w:p w14:paraId="594EC83C" w14:textId="0401142F" w:rsidR="00887FA8" w:rsidRPr="00887FA8" w:rsidRDefault="00887FA8" w:rsidP="00A639BE">
            <w:pPr>
              <w:rPr>
                <w:rFonts w:cstheme="minorHAnsi"/>
                <w:b/>
                <w:bCs/>
              </w:rPr>
            </w:pPr>
            <w:r w:rsidRPr="00887FA8">
              <w:rPr>
                <w:rFonts w:cstheme="minorHAnsi"/>
                <w:b/>
                <w:bCs/>
              </w:rPr>
              <w:t>Dr. Mildred Schneider</w:t>
            </w:r>
          </w:p>
          <w:p w14:paraId="55C86C47" w14:textId="12400661" w:rsidR="00887FA8" w:rsidRPr="00887FA8" w:rsidRDefault="00887FA8" w:rsidP="00A639BE">
            <w:pPr>
              <w:rPr>
                <w:rFonts w:cstheme="minorHAnsi"/>
              </w:rPr>
            </w:pPr>
            <w:r>
              <w:rPr>
                <w:rFonts w:cstheme="minorHAnsi"/>
              </w:rPr>
              <w:t xml:space="preserve">Office: </w:t>
            </w:r>
            <w:r w:rsidRPr="00887FA8">
              <w:rPr>
                <w:rFonts w:cstheme="minorHAnsi"/>
              </w:rPr>
              <w:t>FLG-</w:t>
            </w:r>
            <w:r w:rsidRPr="00887FA8">
              <w:rPr>
                <w:rFonts w:cstheme="minorHAnsi"/>
              </w:rPr>
              <w:t>0</w:t>
            </w:r>
            <w:r w:rsidRPr="00887FA8">
              <w:rPr>
                <w:rFonts w:cstheme="minorHAnsi"/>
              </w:rPr>
              <w:t>5C</w:t>
            </w:r>
          </w:p>
          <w:p w14:paraId="0AF01870" w14:textId="6989C78D" w:rsidR="00041802" w:rsidRPr="00887FA8" w:rsidRDefault="00041802" w:rsidP="00295E3A">
            <w:pPr>
              <w:rPr>
                <w:rFonts w:cstheme="minorHAnsi"/>
                <w:b/>
                <w:bCs/>
              </w:rPr>
            </w:pPr>
          </w:p>
        </w:tc>
      </w:tr>
      <w:tr w:rsidR="00A639BE" w14:paraId="39579C9D" w14:textId="77777777" w:rsidTr="00A74CD6">
        <w:trPr>
          <w:trHeight w:val="866"/>
        </w:trPr>
        <w:tc>
          <w:tcPr>
            <w:tcW w:w="2731" w:type="dxa"/>
          </w:tcPr>
          <w:p w14:paraId="297BBF84" w14:textId="7B4FE5C0" w:rsidR="00A639BE" w:rsidRPr="00505DE9" w:rsidRDefault="00A639BE" w:rsidP="00A639BE">
            <w:pPr>
              <w:pStyle w:val="Heading3"/>
            </w:pPr>
            <w:r>
              <w:t>MEETING TIME/LOCATION</w:t>
            </w:r>
          </w:p>
        </w:tc>
        <w:tc>
          <w:tcPr>
            <w:tcW w:w="6640" w:type="dxa"/>
          </w:tcPr>
          <w:p w14:paraId="0B6EEBC5" w14:textId="5148BB32" w:rsidR="00A639BE" w:rsidRPr="00887FA8" w:rsidRDefault="00A639BE" w:rsidP="00A639BE">
            <w:pPr>
              <w:rPr>
                <w:rFonts w:cstheme="minorHAnsi"/>
              </w:rPr>
            </w:pPr>
            <w:r w:rsidRPr="00887FA8">
              <w:rPr>
                <w:rFonts w:cstheme="minorHAnsi"/>
              </w:rPr>
              <w:t xml:space="preserve">FLG </w:t>
            </w:r>
            <w:r w:rsidR="00023068" w:rsidRPr="00887FA8">
              <w:rPr>
                <w:rFonts w:cstheme="minorHAnsi"/>
              </w:rPr>
              <w:t>02</w:t>
            </w:r>
            <w:r w:rsidR="00786EB6" w:rsidRPr="00887FA8">
              <w:rPr>
                <w:rFonts w:cstheme="minorHAnsi"/>
              </w:rPr>
              <w:t>3</w:t>
            </w:r>
            <w:r w:rsidR="00023068" w:rsidRPr="00887FA8">
              <w:rPr>
                <w:rFonts w:cstheme="minorHAnsi"/>
              </w:rPr>
              <w:t>5</w:t>
            </w:r>
            <w:r w:rsidRPr="00887FA8">
              <w:rPr>
                <w:rFonts w:cstheme="minorHAnsi"/>
              </w:rPr>
              <w:t xml:space="preserve"> </w:t>
            </w:r>
            <w:r w:rsidR="00786EB6" w:rsidRPr="00887FA8">
              <w:rPr>
                <w:rFonts w:cstheme="minorHAnsi"/>
              </w:rPr>
              <w:t>period 6-8 (12:50 pm – 3:50pm)</w:t>
            </w:r>
          </w:p>
        </w:tc>
      </w:tr>
    </w:tbl>
    <w:p w14:paraId="134279A1" w14:textId="77777777" w:rsidR="00D60C7E" w:rsidRDefault="00D60C7E" w:rsidP="00505DE9">
      <w:pPr>
        <w:spacing w:after="0" w:line="240" w:lineRule="auto"/>
        <w:rPr>
          <w:rStyle w:val="Heading3Char"/>
        </w:rPr>
      </w:pPr>
    </w:p>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7AC090D6" w14:textId="751F58BC" w:rsidR="00505DE9" w:rsidRPr="00F93E9F" w:rsidRDefault="00F93E9F" w:rsidP="00505DE9">
      <w:pPr>
        <w:spacing w:after="0" w:line="240" w:lineRule="auto"/>
        <w:rPr>
          <w:b/>
        </w:rPr>
      </w:pPr>
      <w:r w:rsidRPr="00F93E9F">
        <w:t xml:space="preserve">The College of Health &amp; Human Performance (HHP) doctoral program prepares students in multiple concentrations across health education and behavior, applied physiology and kinesiology, sport management, and tourism, hospitality, and event management. The PhD program focuses primarily on attaining proficiency in designing and conducting research in respective areas of concentration. This course is designed to reinforce and complement the scholarly </w:t>
      </w:r>
      <w:proofErr w:type="gramStart"/>
      <w:r w:rsidRPr="00F93E9F">
        <w:t>emphases</w:t>
      </w:r>
      <w:proofErr w:type="gramEnd"/>
      <w:r w:rsidRPr="00F93E9F">
        <w:t xml:space="preserve"> of the HHP PhD program by providing insight into key aspects of professional development and personal growth.  Cross-disciplinary best practices will be shared for developing professional aptitudes and skill sets necessary for successful advancement through graduate studies and on to future professional careers</w:t>
      </w:r>
      <w:r w:rsidR="009919C3" w:rsidRPr="009919C3">
        <w:t>.</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735F4BA5" w14:textId="5864F71F" w:rsidR="000D53EF" w:rsidRDefault="00F93E9F" w:rsidP="00505DE9">
      <w:pPr>
        <w:spacing w:after="0" w:line="240" w:lineRule="auto"/>
      </w:pPr>
      <w:r>
        <w:t>None</w:t>
      </w:r>
      <w:r w:rsidR="009919C3" w:rsidRPr="009919C3">
        <w:t xml:space="preserve">.  </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p w14:paraId="770A1578" w14:textId="3EFFA61A" w:rsidR="00837187" w:rsidRDefault="00D06B14" w:rsidP="00505DE9">
      <w:pPr>
        <w:spacing w:after="0" w:line="240" w:lineRule="auto"/>
      </w:pPr>
      <w:r>
        <w:t xml:space="preserve">No textbook is required. Readings and other materials will be provided </w:t>
      </w:r>
      <w:r w:rsidR="0012165A">
        <w:t>on Canvas for each class</w:t>
      </w:r>
      <w:r w:rsidR="009919C3" w:rsidRPr="009919C3">
        <w:t>.</w:t>
      </w:r>
    </w:p>
    <w:p w14:paraId="4D7E56CC" w14:textId="77777777" w:rsidR="009919C3" w:rsidRDefault="009919C3" w:rsidP="00505DE9">
      <w:pPr>
        <w:spacing w:after="0" w:line="240" w:lineRule="auto"/>
        <w:rPr>
          <w:sz w:val="24"/>
          <w:szCs w:val="24"/>
        </w:rPr>
      </w:pPr>
    </w:p>
    <w:p w14:paraId="0CDF7146" w14:textId="7892DCD5" w:rsidR="00510959" w:rsidRPr="000C5E4E" w:rsidRDefault="00510959" w:rsidP="00505DE9">
      <w:pPr>
        <w:spacing w:after="0" w:line="240" w:lineRule="auto"/>
        <w:rPr>
          <w:b/>
          <w:bCs/>
          <w:sz w:val="24"/>
          <w:szCs w:val="24"/>
        </w:rPr>
      </w:pPr>
      <w:r w:rsidRPr="000C5E4E">
        <w:rPr>
          <w:b/>
          <w:bCs/>
          <w:sz w:val="24"/>
          <w:szCs w:val="24"/>
        </w:rPr>
        <w:t>Instructional materials for this course consist of only those materials specifically reviewed, selected, and assigned by the instructor(s). The instructor(s) is only responsible for these instructional materials.</w:t>
      </w:r>
    </w:p>
    <w:p w14:paraId="434E2DD3" w14:textId="77777777" w:rsidR="00510959" w:rsidRPr="00505DE9" w:rsidRDefault="00510959" w:rsidP="00505DE9">
      <w:pPr>
        <w:spacing w:after="0" w:line="240" w:lineRule="auto"/>
        <w:rPr>
          <w:sz w:val="24"/>
          <w:szCs w:val="24"/>
        </w:rPr>
      </w:pPr>
    </w:p>
    <w:p w14:paraId="6ED2481D" w14:textId="142560BF" w:rsidR="000D53EF" w:rsidRPr="008F512E" w:rsidRDefault="00505DE9" w:rsidP="008F512E">
      <w:pPr>
        <w:pStyle w:val="Heading3"/>
        <w:rPr>
          <w:b w:val="0"/>
          <w:bCs/>
        </w:rPr>
      </w:pPr>
      <w:r w:rsidRPr="008F512E">
        <w:rPr>
          <w:rStyle w:val="Heading3Char"/>
          <w:b/>
          <w:bCs/>
        </w:rPr>
        <w:lastRenderedPageBreak/>
        <w:t>COURSE FORMAT</w:t>
      </w:r>
      <w:r w:rsidRPr="008F512E">
        <w:rPr>
          <w:b w:val="0"/>
          <w:bCs/>
        </w:rPr>
        <w:t xml:space="preserve"> </w:t>
      </w:r>
    </w:p>
    <w:p w14:paraId="7E4BF466" w14:textId="5FF4EB67" w:rsidR="00837187" w:rsidRDefault="0012165A" w:rsidP="00505DE9">
      <w:pPr>
        <w:spacing w:after="0" w:line="240" w:lineRule="auto"/>
      </w:pPr>
      <w:r>
        <w:t>We will meet each week for three hour</w:t>
      </w:r>
      <w:r w:rsidR="00F47044">
        <w:t>s for</w:t>
      </w:r>
      <w:r w:rsidR="00D33F4F">
        <w:t xml:space="preserve"> a mixture of </w:t>
      </w:r>
      <w:proofErr w:type="gramStart"/>
      <w:r w:rsidR="00D33F4F">
        <w:t>lecture</w:t>
      </w:r>
      <w:proofErr w:type="gramEnd"/>
      <w:r w:rsidR="00D33F4F">
        <w:t xml:space="preserve">, </w:t>
      </w:r>
      <w:proofErr w:type="gramStart"/>
      <w:r w:rsidR="00D33F4F">
        <w:t>discussion</w:t>
      </w:r>
      <w:proofErr w:type="gramEnd"/>
      <w:r w:rsidR="00D33F4F">
        <w:t>, and activities</w:t>
      </w:r>
      <w:r w:rsidR="009919C3" w:rsidRPr="009919C3">
        <w:t>.</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2F65FB7" w14:textId="77777777" w:rsidR="00856628" w:rsidRPr="00856628" w:rsidRDefault="00856628" w:rsidP="00856628">
      <w:pPr>
        <w:spacing w:after="0" w:line="240" w:lineRule="auto"/>
        <w:rPr>
          <w:rFonts w:eastAsia="Calibri" w:cstheme="minorHAnsi"/>
        </w:rPr>
      </w:pPr>
      <w:r w:rsidRPr="00856628">
        <w:rPr>
          <w:rFonts w:eastAsia="Calibri" w:cstheme="minorHAnsi"/>
        </w:rPr>
        <w:t>This course is designed to provide information about professional skills to PhD students pursuing careers in higher education as well as alternative professional careers in academic, corporate, and government entities. The course will cover issues that are critical for success as PhD students and early career professionals.  Upon successful completion of this course students will be able to:</w:t>
      </w:r>
    </w:p>
    <w:p w14:paraId="6F723543" w14:textId="77777777" w:rsidR="00856628" w:rsidRPr="00856628" w:rsidRDefault="00856628" w:rsidP="00856628">
      <w:pPr>
        <w:numPr>
          <w:ilvl w:val="0"/>
          <w:numId w:val="21"/>
        </w:numPr>
        <w:spacing w:after="0" w:line="240" w:lineRule="auto"/>
        <w:rPr>
          <w:rFonts w:eastAsia="Calibri" w:cstheme="minorHAnsi"/>
        </w:rPr>
      </w:pPr>
      <w:r w:rsidRPr="00856628">
        <w:rPr>
          <w:rFonts w:eastAsia="Calibri" w:cstheme="minorHAnsi"/>
        </w:rPr>
        <w:t>Describe and demonstrate written and oral scientific communication skills.</w:t>
      </w:r>
    </w:p>
    <w:p w14:paraId="0B724FBE" w14:textId="77777777" w:rsidR="00856628" w:rsidRPr="00856628" w:rsidRDefault="00856628" w:rsidP="00856628">
      <w:pPr>
        <w:numPr>
          <w:ilvl w:val="0"/>
          <w:numId w:val="21"/>
        </w:numPr>
        <w:spacing w:after="0" w:line="240" w:lineRule="auto"/>
        <w:rPr>
          <w:rFonts w:eastAsia="Calibri" w:cstheme="minorHAnsi"/>
        </w:rPr>
      </w:pPr>
      <w:r w:rsidRPr="00856628">
        <w:rPr>
          <w:rFonts w:eastAsia="Calibri" w:cstheme="minorHAnsi"/>
        </w:rPr>
        <w:t xml:space="preserve">Identify elements of a successful teaching and research philosophy </w:t>
      </w:r>
    </w:p>
    <w:p w14:paraId="3B69DE00" w14:textId="77777777" w:rsidR="00856628" w:rsidRPr="00856628" w:rsidRDefault="00856628" w:rsidP="00856628">
      <w:pPr>
        <w:numPr>
          <w:ilvl w:val="0"/>
          <w:numId w:val="21"/>
        </w:numPr>
        <w:spacing w:after="0" w:line="240" w:lineRule="auto"/>
        <w:rPr>
          <w:rFonts w:eastAsia="Calibri" w:cstheme="minorHAnsi"/>
        </w:rPr>
      </w:pPr>
      <w:r w:rsidRPr="00856628">
        <w:rPr>
          <w:rFonts w:eastAsia="Calibri" w:cstheme="minorHAnsi"/>
        </w:rPr>
        <w:t>Describe strategies to be a successful junior faculty member</w:t>
      </w:r>
    </w:p>
    <w:p w14:paraId="677685C2" w14:textId="77777777" w:rsidR="00856628" w:rsidRPr="00856628" w:rsidRDefault="00856628" w:rsidP="00856628">
      <w:pPr>
        <w:numPr>
          <w:ilvl w:val="0"/>
          <w:numId w:val="21"/>
        </w:numPr>
        <w:spacing w:after="0" w:line="240" w:lineRule="auto"/>
        <w:rPr>
          <w:rFonts w:eastAsia="Calibri" w:cstheme="minorHAnsi"/>
        </w:rPr>
      </w:pPr>
      <w:r w:rsidRPr="00856628">
        <w:rPr>
          <w:rFonts w:eastAsia="Calibri" w:cstheme="minorHAnsi"/>
        </w:rPr>
        <w:t xml:space="preserve">Describe and identify steps to create a </w:t>
      </w:r>
      <w:proofErr w:type="gramStart"/>
      <w:r w:rsidRPr="00856628">
        <w:rPr>
          <w:rFonts w:eastAsia="Calibri" w:cstheme="minorHAnsi"/>
        </w:rPr>
        <w:t>long term</w:t>
      </w:r>
      <w:proofErr w:type="gramEnd"/>
      <w:r w:rsidRPr="00856628">
        <w:rPr>
          <w:rFonts w:eastAsia="Calibri" w:cstheme="minorHAnsi"/>
        </w:rPr>
        <w:t xml:space="preserve"> research agenda</w:t>
      </w:r>
    </w:p>
    <w:p w14:paraId="4A24C1FD" w14:textId="16C56CE7" w:rsidR="00505DE9" w:rsidRPr="00C83A85" w:rsidRDefault="00856628" w:rsidP="00505DE9">
      <w:pPr>
        <w:numPr>
          <w:ilvl w:val="0"/>
          <w:numId w:val="21"/>
        </w:numPr>
        <w:spacing w:after="0" w:line="240" w:lineRule="auto"/>
        <w:rPr>
          <w:rStyle w:val="ItemDescription"/>
          <w:rFonts w:asciiTheme="minorHAnsi" w:hAnsiTheme="minorHAnsi" w:cstheme="minorHAnsi"/>
          <w:i w:val="0"/>
          <w:sz w:val="22"/>
        </w:rPr>
      </w:pPr>
      <w:r w:rsidRPr="00856628">
        <w:rPr>
          <w:rFonts w:eastAsia="Calibri" w:cstheme="minorHAnsi"/>
        </w:rPr>
        <w:t xml:space="preserve">Identify career paths suitable for individual research and teaching aspirations </w:t>
      </w:r>
    </w:p>
    <w:p w14:paraId="6CB16539" w14:textId="6C852428" w:rsidR="00837187" w:rsidRDefault="00837187" w:rsidP="00505DE9">
      <w:pPr>
        <w:spacing w:after="0" w:line="240" w:lineRule="auto"/>
        <w:rPr>
          <w:sz w:val="24"/>
          <w:szCs w:val="24"/>
        </w:rPr>
      </w:pPr>
    </w:p>
    <w:p w14:paraId="4AC8F476" w14:textId="7C042759" w:rsidR="00837187" w:rsidRDefault="00837187" w:rsidP="00837187">
      <w:pPr>
        <w:pStyle w:val="Heading2"/>
      </w:pPr>
      <w:r>
        <w:t>Course &amp; University Policies</w:t>
      </w:r>
    </w:p>
    <w:p w14:paraId="46668EDF" w14:textId="6783DF7F" w:rsidR="00837187" w:rsidRDefault="00837187" w:rsidP="00505DE9">
      <w:pPr>
        <w:spacing w:after="0" w:line="240" w:lineRule="auto"/>
        <w:rPr>
          <w:sz w:val="24"/>
          <w:szCs w:val="24"/>
        </w:rPr>
      </w:pPr>
    </w:p>
    <w:p w14:paraId="23D72FA1" w14:textId="0FAD1884" w:rsidR="00813A77" w:rsidRDefault="00813A77" w:rsidP="00505DE9">
      <w:pPr>
        <w:spacing w:after="0" w:line="240" w:lineRule="auto"/>
        <w:rPr>
          <w:sz w:val="24"/>
          <w:szCs w:val="24"/>
        </w:rPr>
      </w:pPr>
      <w:r>
        <w:rPr>
          <w:sz w:val="24"/>
          <w:szCs w:val="24"/>
        </w:rPr>
        <w:t xml:space="preserve">This course follows university policies as </w:t>
      </w:r>
      <w:r w:rsidR="0044315D">
        <w:rPr>
          <w:sz w:val="24"/>
          <w:szCs w:val="24"/>
        </w:rPr>
        <w:t>described in the following link:</w:t>
      </w:r>
    </w:p>
    <w:p w14:paraId="379A6BB8" w14:textId="77777777" w:rsidR="002E171C" w:rsidRPr="002E171C" w:rsidRDefault="002E171C" w:rsidP="002E171C">
      <w:pPr>
        <w:spacing w:after="0" w:line="240" w:lineRule="auto"/>
        <w:rPr>
          <w:sz w:val="24"/>
          <w:szCs w:val="24"/>
        </w:rPr>
      </w:pPr>
      <w:hyperlink r:id="rId9" w:history="1">
        <w:r w:rsidRPr="002E171C">
          <w:rPr>
            <w:rStyle w:val="Hyperlink"/>
            <w:sz w:val="24"/>
            <w:szCs w:val="24"/>
          </w:rPr>
          <w:t>https://go.ufl.edu/syllabuspolicies</w:t>
        </w:r>
      </w:hyperlink>
    </w:p>
    <w:p w14:paraId="4BB6EBEE" w14:textId="77777777" w:rsidR="0082247F" w:rsidRDefault="0082247F" w:rsidP="00505DE9">
      <w:pPr>
        <w:spacing w:after="0" w:line="240" w:lineRule="auto"/>
        <w:rPr>
          <w:sz w:val="24"/>
          <w:szCs w:val="24"/>
        </w:rPr>
      </w:pPr>
    </w:p>
    <w:p w14:paraId="3E93B67D" w14:textId="77777777" w:rsidR="002E171C" w:rsidRDefault="002E171C"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62E6951C" w14:textId="14620D26" w:rsidR="00837187" w:rsidRDefault="00930876" w:rsidP="00837187">
      <w:pPr>
        <w:spacing w:after="0" w:line="240" w:lineRule="auto"/>
      </w:pPr>
      <w:r>
        <w:t xml:space="preserve">Although attendance is not graded, each week will have an associated </w:t>
      </w:r>
      <w:r w:rsidR="00B61862">
        <w:t>assignment</w:t>
      </w:r>
      <w:r>
        <w:t xml:space="preserve"> with in-class eleme</w:t>
      </w:r>
      <w:r w:rsidR="00B61862">
        <w:t>nts. Missing class might mean missing opportunities to earn grades for each class.</w:t>
      </w:r>
    </w:p>
    <w:p w14:paraId="42FAE36A" w14:textId="77777777" w:rsidR="009919C3" w:rsidRPr="00837187" w:rsidRDefault="009919C3" w:rsidP="00837187">
      <w:pPr>
        <w:spacing w:after="0" w:line="240" w:lineRule="auto"/>
        <w:rPr>
          <w:sz w:val="24"/>
          <w:szCs w:val="24"/>
        </w:rPr>
      </w:pPr>
    </w:p>
    <w:p w14:paraId="5CA91EFE" w14:textId="77777777" w:rsidR="00C83A85" w:rsidRDefault="00C83A85" w:rsidP="00667824">
      <w:pPr>
        <w:spacing w:after="0" w:line="240" w:lineRule="auto"/>
        <w:rPr>
          <w:rFonts w:ascii="Rockwell" w:hAnsi="Rockwell"/>
          <w:b/>
          <w:bCs/>
          <w:color w:val="FF5B19"/>
          <w:sz w:val="24"/>
          <w:szCs w:val="24"/>
        </w:rPr>
      </w:pPr>
    </w:p>
    <w:p w14:paraId="14BACBEA" w14:textId="00063853" w:rsidR="00837187" w:rsidRDefault="00837187" w:rsidP="00837187">
      <w:pPr>
        <w:pStyle w:val="Heading2"/>
      </w:pPr>
      <w:r>
        <w:t>Grading</w:t>
      </w:r>
    </w:p>
    <w:p w14:paraId="24E3EDE9" w14:textId="77777777" w:rsidR="00837187" w:rsidRDefault="00837187" w:rsidP="00837187">
      <w:pPr>
        <w:spacing w:after="0" w:line="240" w:lineRule="auto"/>
        <w:rPr>
          <w:rFonts w:cstheme="minorHAnsi"/>
          <w:sz w:val="24"/>
          <w:szCs w:val="24"/>
        </w:rPr>
      </w:pPr>
    </w:p>
    <w:p w14:paraId="6B843BA7" w14:textId="528B0357" w:rsidR="00837187" w:rsidRDefault="00837187" w:rsidP="00837187">
      <w:pPr>
        <w:spacing w:after="0" w:line="240" w:lineRule="auto"/>
        <w:rPr>
          <w:rFonts w:cstheme="minorHAnsi"/>
        </w:rPr>
      </w:pP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2659"/>
        <w:gridCol w:w="2656"/>
      </w:tblGrid>
      <w:tr w:rsidR="009919C3" w:rsidRPr="008F0DBD" w14:paraId="2735EC0A" w14:textId="77777777" w:rsidTr="00887FA8">
        <w:trPr>
          <w:jc w:val="center"/>
        </w:trPr>
        <w:tc>
          <w:tcPr>
            <w:tcW w:w="21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9919C3" w:rsidRDefault="009919C3" w:rsidP="00621FD5">
            <w:pPr>
              <w:spacing w:after="0" w:line="240" w:lineRule="auto"/>
              <w:jc w:val="center"/>
              <w:rPr>
                <w:rFonts w:eastAsia="Calibri" w:cs="Calibri"/>
              </w:rPr>
            </w:pPr>
            <w:r w:rsidRPr="008F0DBD">
              <w:rPr>
                <w:rFonts w:eastAsia="Calibri" w:cs="Calibri"/>
              </w:rPr>
              <w:t xml:space="preserve">Evaluation Components </w:t>
            </w:r>
          </w:p>
          <w:p w14:paraId="3E26868C" w14:textId="77777777" w:rsidR="009919C3" w:rsidRPr="008F0DBD" w:rsidRDefault="009919C3" w:rsidP="00621FD5">
            <w:pPr>
              <w:spacing w:after="0" w:line="240" w:lineRule="auto"/>
              <w:jc w:val="center"/>
            </w:pPr>
            <w:r w:rsidRPr="008F0DBD">
              <w:rPr>
                <w:rFonts w:eastAsia="Calibri" w:cs="Calibri"/>
              </w:rPr>
              <w:t>(number of each)</w:t>
            </w:r>
          </w:p>
        </w:tc>
        <w:tc>
          <w:tcPr>
            <w:tcW w:w="14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047C1A" w14:textId="77777777" w:rsidR="009919C3" w:rsidRPr="008F0DBD" w:rsidRDefault="009919C3" w:rsidP="00621FD5">
            <w:pPr>
              <w:spacing w:after="0" w:line="240" w:lineRule="auto"/>
              <w:jc w:val="center"/>
            </w:pPr>
            <w:r w:rsidRPr="008F0DBD">
              <w:rPr>
                <w:rFonts w:eastAsia="Calibri" w:cs="Calibri"/>
              </w:rPr>
              <w:t>Points Per Component</w:t>
            </w:r>
          </w:p>
        </w:tc>
        <w:tc>
          <w:tcPr>
            <w:tcW w:w="1442" w:type="pct"/>
            <w:tcBorders>
              <w:top w:val="single" w:sz="8" w:space="0" w:color="000000"/>
              <w:left w:val="single" w:sz="8" w:space="0" w:color="000000"/>
              <w:bottom w:val="single" w:sz="8" w:space="0" w:color="000000"/>
              <w:right w:val="single" w:sz="8" w:space="0" w:color="000000"/>
            </w:tcBorders>
            <w:vAlign w:val="center"/>
          </w:tcPr>
          <w:p w14:paraId="3219EA15" w14:textId="77777777" w:rsidR="009919C3" w:rsidRPr="008F0DBD" w:rsidRDefault="009919C3" w:rsidP="00621FD5">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9919C3" w:rsidRPr="008F0DBD" w14:paraId="21522E23" w14:textId="77777777" w:rsidTr="00887FA8">
        <w:trPr>
          <w:jc w:val="center"/>
        </w:trPr>
        <w:tc>
          <w:tcPr>
            <w:tcW w:w="21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5751020B" w:rsidR="009919C3" w:rsidRPr="008F0DBD" w:rsidRDefault="009919C3" w:rsidP="00621FD5">
            <w:pPr>
              <w:spacing w:after="0" w:line="240" w:lineRule="auto"/>
            </w:pPr>
            <w:r w:rsidRPr="008F0DBD">
              <w:t xml:space="preserve">  </w:t>
            </w:r>
            <w:r w:rsidR="00B61862">
              <w:t>Topical/In-class assignments</w:t>
            </w:r>
            <w:r w:rsidRPr="008F0DBD">
              <w:t xml:space="preserve"> (</w:t>
            </w:r>
            <w:r w:rsidR="00B61862">
              <w:t>1</w:t>
            </w:r>
            <w:r w:rsidR="00ED3AFC">
              <w:t>0</w:t>
            </w:r>
            <w:r w:rsidRPr="008F0DBD">
              <w:t>)</w:t>
            </w:r>
          </w:p>
        </w:tc>
        <w:tc>
          <w:tcPr>
            <w:tcW w:w="14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2EFF5D" w14:textId="32DF55CB" w:rsidR="009919C3" w:rsidRPr="008F0DBD" w:rsidRDefault="00ED3AFC" w:rsidP="00621FD5">
            <w:pPr>
              <w:spacing w:after="0" w:line="240" w:lineRule="auto"/>
              <w:jc w:val="center"/>
            </w:pPr>
            <w:r>
              <w:t>6</w:t>
            </w:r>
            <w:r w:rsidR="009919C3" w:rsidRPr="008F0DBD">
              <w:t xml:space="preserve"> pts each = </w:t>
            </w:r>
            <w:r>
              <w:t>60</w:t>
            </w:r>
            <w:r w:rsidR="009919C3" w:rsidRPr="008F0DBD">
              <w:t xml:space="preserve"> pts</w:t>
            </w:r>
          </w:p>
        </w:tc>
        <w:tc>
          <w:tcPr>
            <w:tcW w:w="1442" w:type="pct"/>
            <w:tcBorders>
              <w:top w:val="single" w:sz="8" w:space="0" w:color="000000"/>
              <w:left w:val="single" w:sz="8" w:space="0" w:color="000000"/>
              <w:bottom w:val="single" w:sz="8" w:space="0" w:color="000000"/>
              <w:right w:val="single" w:sz="8" w:space="0" w:color="000000"/>
            </w:tcBorders>
          </w:tcPr>
          <w:p w14:paraId="720768F3" w14:textId="2294BE4D" w:rsidR="009919C3" w:rsidRPr="008F0DBD" w:rsidRDefault="00ED3AFC" w:rsidP="00621FD5">
            <w:pPr>
              <w:spacing w:after="0" w:line="240" w:lineRule="auto"/>
              <w:jc w:val="center"/>
            </w:pPr>
            <w:r>
              <w:t>60%</w:t>
            </w:r>
          </w:p>
        </w:tc>
      </w:tr>
      <w:tr w:rsidR="009919C3" w:rsidRPr="008F0DBD" w14:paraId="7E7A86EA" w14:textId="77777777" w:rsidTr="00887FA8">
        <w:trPr>
          <w:jc w:val="center"/>
        </w:trPr>
        <w:tc>
          <w:tcPr>
            <w:tcW w:w="211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4F138693" w:rsidR="009919C3" w:rsidRPr="008F0DBD" w:rsidRDefault="009919C3" w:rsidP="00621FD5">
            <w:pPr>
              <w:spacing w:after="0" w:line="240" w:lineRule="auto"/>
            </w:pPr>
            <w:r w:rsidRPr="008F0DBD">
              <w:t xml:space="preserve"> </w:t>
            </w:r>
            <w:r w:rsidR="00ED3AFC">
              <w:t>Professional Development Initiatives</w:t>
            </w:r>
            <w:r w:rsidRPr="008F0DBD">
              <w:t xml:space="preserve"> (</w:t>
            </w:r>
            <w:r w:rsidR="00ED3AFC">
              <w:t>2</w:t>
            </w:r>
            <w:r w:rsidRPr="008F0DBD">
              <w:t>)</w:t>
            </w:r>
          </w:p>
        </w:tc>
        <w:tc>
          <w:tcPr>
            <w:tcW w:w="14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6E0A9" w14:textId="7062A006" w:rsidR="009919C3" w:rsidRPr="008F0DBD" w:rsidRDefault="009919C3" w:rsidP="00621FD5">
            <w:pPr>
              <w:spacing w:after="0" w:line="240" w:lineRule="auto"/>
              <w:jc w:val="center"/>
            </w:pPr>
            <w:r w:rsidRPr="008F0DBD">
              <w:t xml:space="preserve"> </w:t>
            </w:r>
            <w:r w:rsidR="00ED3AFC">
              <w:t xml:space="preserve">20 </w:t>
            </w:r>
            <w:r w:rsidRPr="008F0DBD">
              <w:t xml:space="preserve">pts each = </w:t>
            </w:r>
            <w:r w:rsidR="00ED3AFC">
              <w:t>40</w:t>
            </w:r>
            <w:r w:rsidRPr="008F0DBD">
              <w:t xml:space="preserve"> pts</w:t>
            </w:r>
          </w:p>
        </w:tc>
        <w:tc>
          <w:tcPr>
            <w:tcW w:w="1442" w:type="pct"/>
            <w:tcBorders>
              <w:top w:val="single" w:sz="8" w:space="0" w:color="000000"/>
              <w:left w:val="single" w:sz="8" w:space="0" w:color="000000"/>
              <w:bottom w:val="single" w:sz="8" w:space="0" w:color="000000"/>
              <w:right w:val="single" w:sz="8" w:space="0" w:color="000000"/>
            </w:tcBorders>
          </w:tcPr>
          <w:p w14:paraId="42958E22" w14:textId="7B7CF02A" w:rsidR="009919C3" w:rsidRPr="008F0DBD" w:rsidRDefault="00ED3AFC" w:rsidP="00621FD5">
            <w:pPr>
              <w:spacing w:after="0" w:line="240" w:lineRule="auto"/>
              <w:jc w:val="center"/>
            </w:pPr>
            <w:r>
              <w:t>40</w:t>
            </w:r>
            <w:r w:rsidR="009919C3" w:rsidRPr="008F0DBD">
              <w:t>%</w:t>
            </w:r>
          </w:p>
        </w:tc>
      </w:tr>
    </w:tbl>
    <w:p w14:paraId="69A3F8C1" w14:textId="77777777" w:rsidR="009919C3" w:rsidRPr="000D53EF" w:rsidRDefault="009919C3" w:rsidP="00837187">
      <w:pPr>
        <w:spacing w:after="0" w:line="240" w:lineRule="auto"/>
        <w:rPr>
          <w:rFonts w:cstheme="minorHAnsi"/>
        </w:rPr>
      </w:pPr>
    </w:p>
    <w:p w14:paraId="40E28E4F" w14:textId="62BE6376" w:rsidR="009919C3" w:rsidRDefault="00074E94" w:rsidP="009919C3">
      <w:pPr>
        <w:spacing w:after="0" w:line="240" w:lineRule="auto"/>
      </w:pPr>
      <w:r>
        <w:rPr>
          <w:b/>
          <w:i/>
        </w:rPr>
        <w:t>Topical/In-class assignments</w:t>
      </w:r>
      <w:r w:rsidR="009919C3">
        <w:t xml:space="preserve"> – Each </w:t>
      </w:r>
      <w:r>
        <w:t>week will have an associated assignment</w:t>
      </w:r>
      <w:r w:rsidR="003E25E1">
        <w:t xml:space="preserve">. </w:t>
      </w:r>
      <w:r w:rsidR="003A6AFA">
        <w:t xml:space="preserve">Instructions for each assignment will be provided in class or on Canvas. </w:t>
      </w:r>
      <w:r w:rsidR="008E2C9A">
        <w:t xml:space="preserve">Assignments will be graded based on completion—completing all the elements of the assignment will be </w:t>
      </w:r>
      <w:r w:rsidR="005E3F4B">
        <w:t xml:space="preserve">rewarded with a full grade (6 out of 6). </w:t>
      </w:r>
      <w:r w:rsidR="00F065A3">
        <w:t xml:space="preserve">There will be 11 weeks with assignments. Students’ final </w:t>
      </w:r>
      <w:r w:rsidR="00D47120">
        <w:t>grades</w:t>
      </w:r>
      <w:r w:rsidR="00F065A3">
        <w:t xml:space="preserve"> will be calculated based on their 10 best grades, allowing students to miss </w:t>
      </w:r>
      <w:r w:rsidR="003E25E1">
        <w:t xml:space="preserve">one assignment without reducing their grade. </w:t>
      </w:r>
      <w:r w:rsidR="00D47120">
        <w:t xml:space="preserve">Students are encouraged to use this “free” assignment </w:t>
      </w:r>
      <w:r w:rsidR="001343C4">
        <w:t>to choose the assignments and class topics that best fit their professional development goals.</w:t>
      </w:r>
    </w:p>
    <w:p w14:paraId="4E7A50A7" w14:textId="77777777" w:rsidR="009919C3" w:rsidRDefault="009919C3" w:rsidP="009919C3">
      <w:pPr>
        <w:spacing w:after="0" w:line="240" w:lineRule="auto"/>
        <w:rPr>
          <w:b/>
          <w:i/>
        </w:rPr>
      </w:pPr>
    </w:p>
    <w:p w14:paraId="4574FC58" w14:textId="5673A9EE" w:rsidR="009919C3" w:rsidRPr="00862F91" w:rsidRDefault="00D47120" w:rsidP="009919C3">
      <w:pPr>
        <w:spacing w:after="0" w:line="240" w:lineRule="auto"/>
      </w:pPr>
      <w:r>
        <w:rPr>
          <w:b/>
          <w:i/>
        </w:rPr>
        <w:t xml:space="preserve">Professional Development </w:t>
      </w:r>
      <w:r w:rsidR="001343C4">
        <w:rPr>
          <w:b/>
          <w:i/>
        </w:rPr>
        <w:t>Initiatives</w:t>
      </w:r>
      <w:r w:rsidR="009919C3">
        <w:t xml:space="preserve"> – </w:t>
      </w:r>
      <w:r w:rsidR="001343C4">
        <w:t xml:space="preserve">Students must complete two additional pre-approved professional development opportunities during the semester and submit a </w:t>
      </w:r>
      <w:r w:rsidR="00D07749">
        <w:t>300</w:t>
      </w:r>
      <w:r w:rsidR="001F21E5">
        <w:t>-</w:t>
      </w:r>
      <w:r w:rsidR="00D07749">
        <w:t xml:space="preserve">word reflection </w:t>
      </w:r>
      <w:r w:rsidR="001F21E5">
        <w:t>about</w:t>
      </w:r>
      <w:r w:rsidR="00D07749">
        <w:t xml:space="preserve"> the opportunity to Canvas. Students can attend workshops hosted by the UF Graduate School, they can watch or attend online </w:t>
      </w:r>
      <w:r w:rsidR="00982084">
        <w:t>workshops provided</w:t>
      </w:r>
      <w:r w:rsidR="001F21E5">
        <w:t xml:space="preserve"> by the National Center for Faculty Diversity and Development</w:t>
      </w:r>
      <w:r w:rsidR="007B6BEF">
        <w:t xml:space="preserve">, or they can </w:t>
      </w:r>
      <w:r w:rsidR="00B82500">
        <w:t>approval for another professional development opportunity, such as Dr. V</w:t>
      </w:r>
      <w:r w:rsidR="00F21DA4">
        <w:t>ail</w:t>
      </w:r>
      <w:r w:rsidR="00B82500">
        <w:t>lancourt’s Rigor and Reproducibility lecture series</w:t>
      </w:r>
      <w:r w:rsidR="00F21DA4">
        <w:t>.</w:t>
      </w:r>
    </w:p>
    <w:p w14:paraId="523965CB" w14:textId="07C22CF3" w:rsidR="009E31BF" w:rsidRDefault="009E31BF" w:rsidP="009E31BF">
      <w:pPr>
        <w:spacing w:after="0" w:line="240" w:lineRule="auto"/>
        <w:rPr>
          <w:rFonts w:cstheme="minorHAnsi"/>
          <w:i/>
          <w:iCs/>
          <w:sz w:val="24"/>
          <w:szCs w:val="24"/>
        </w:rPr>
      </w:pPr>
    </w:p>
    <w:p w14:paraId="3C1F534F" w14:textId="77777777" w:rsidR="00887FA8" w:rsidRDefault="00887FA8" w:rsidP="009E31BF">
      <w:pPr>
        <w:spacing w:after="0" w:line="240" w:lineRule="auto"/>
        <w:rPr>
          <w:rFonts w:cstheme="minorHAnsi"/>
          <w:i/>
          <w:iCs/>
          <w:sz w:val="24"/>
          <w:szCs w:val="24"/>
        </w:rPr>
      </w:pPr>
    </w:p>
    <w:p w14:paraId="5C41737C" w14:textId="6FEEA831" w:rsidR="000D53EF" w:rsidRDefault="009919C3" w:rsidP="009919C3">
      <w:pPr>
        <w:pStyle w:val="Heading3"/>
      </w:pPr>
      <w:r>
        <w:t>GRADING SCALE</w:t>
      </w:r>
    </w:p>
    <w:p w14:paraId="6AE60974" w14:textId="26D8C64B" w:rsidR="009919C3" w:rsidRPr="00103A5F" w:rsidRDefault="009919C3" w:rsidP="009919C3">
      <w:pPr>
        <w:spacing w:after="0" w:line="240" w:lineRule="auto"/>
        <w:rPr>
          <w:rStyle w:val="ItemDescription"/>
          <w:color w:val="FF0000"/>
        </w:rPr>
      </w:pPr>
      <w:r w:rsidRPr="004A4DC3">
        <w:rPr>
          <w:rStyle w:val="ItemDescription"/>
          <w:i w:val="0"/>
        </w:rPr>
        <w:t>More detailed</w:t>
      </w:r>
      <w:r w:rsidRPr="00EE45EB">
        <w:rPr>
          <w:rStyle w:val="ItemDescription"/>
          <w:i w:val="0"/>
        </w:rPr>
        <w:t xml:space="preserve"> information regarding current UF grading policies</w:t>
      </w:r>
      <w:r>
        <w:rPr>
          <w:rStyle w:val="ItemDescription"/>
          <w:i w:val="0"/>
        </w:rPr>
        <w:t xml:space="preserve"> can be found here</w:t>
      </w:r>
      <w:r w:rsidRPr="00EE45EB">
        <w:rPr>
          <w:rStyle w:val="ItemDescription"/>
          <w:i w:val="0"/>
        </w:rPr>
        <w:t xml:space="preserve">: </w:t>
      </w:r>
      <w:hyperlink r:id="rId10" w:history="1">
        <w:r w:rsidRPr="000C2E32">
          <w:rPr>
            <w:rStyle w:val="Hyperlink"/>
            <w:rFonts w:eastAsia="Calibri" w:cs="Calibri"/>
          </w:rPr>
          <w:t>https://catalog.ufl.edu/UGRD/academic-regulations/grades-grading-policies/</w:t>
        </w:r>
      </w:hyperlink>
      <w:r w:rsidRPr="00EE45EB">
        <w:rPr>
          <w:rStyle w:val="ItemDescription"/>
          <w:i w:val="0"/>
        </w:rPr>
        <w:t>.</w:t>
      </w:r>
      <w:r>
        <w:rPr>
          <w:rStyle w:val="ItemDescription"/>
          <w:i w:val="0"/>
        </w:rPr>
        <w:t xml:space="preserve">”  </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8E568E" w:rsidRPr="006652BC" w14:paraId="6F57EF40" w14:textId="77777777" w:rsidTr="008E568E">
        <w:trPr>
          <w:jc w:val="center"/>
        </w:trPr>
        <w:tc>
          <w:tcPr>
            <w:tcW w:w="1105" w:type="dxa"/>
            <w:vAlign w:val="center"/>
          </w:tcPr>
          <w:p w14:paraId="0A053515" w14:textId="77777777" w:rsidR="008E568E" w:rsidRPr="006652BC" w:rsidRDefault="008E568E" w:rsidP="00621FD5">
            <w:pPr>
              <w:spacing w:after="0" w:line="240" w:lineRule="auto"/>
              <w:jc w:val="center"/>
              <w:rPr>
                <w:rFonts w:cs="Arial"/>
              </w:rPr>
            </w:pPr>
            <w:r w:rsidRPr="006652BC">
              <w:rPr>
                <w:rFonts w:cs="Arial"/>
              </w:rPr>
              <w:t>Letter Grade</w:t>
            </w:r>
          </w:p>
        </w:tc>
        <w:tc>
          <w:tcPr>
            <w:tcW w:w="3330" w:type="dxa"/>
            <w:vAlign w:val="center"/>
          </w:tcPr>
          <w:p w14:paraId="0BC1A9AA" w14:textId="77777777" w:rsidR="008E568E" w:rsidRPr="006652BC" w:rsidRDefault="008E568E" w:rsidP="00621FD5">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1F969828" w14:textId="77777777" w:rsidR="008E568E" w:rsidRPr="006652BC" w:rsidRDefault="008E568E" w:rsidP="00621FD5">
            <w:pPr>
              <w:spacing w:after="0" w:line="240" w:lineRule="auto"/>
              <w:jc w:val="center"/>
              <w:rPr>
                <w:rFonts w:cs="Arial"/>
              </w:rPr>
            </w:pPr>
            <w:r w:rsidRPr="006652BC">
              <w:rPr>
                <w:rFonts w:cs="Arial"/>
              </w:rPr>
              <w:t>GPA Impact of Each Letter Grade</w:t>
            </w:r>
          </w:p>
        </w:tc>
      </w:tr>
      <w:tr w:rsidR="008E568E" w:rsidRPr="006652BC" w14:paraId="5CF11C0C" w14:textId="77777777" w:rsidTr="008E568E">
        <w:trPr>
          <w:jc w:val="center"/>
        </w:trPr>
        <w:tc>
          <w:tcPr>
            <w:tcW w:w="1105" w:type="dxa"/>
            <w:vAlign w:val="center"/>
          </w:tcPr>
          <w:p w14:paraId="1B825759" w14:textId="77777777" w:rsidR="008E568E" w:rsidRPr="006652BC" w:rsidRDefault="008E568E" w:rsidP="00621FD5">
            <w:pPr>
              <w:spacing w:after="0" w:line="240" w:lineRule="auto"/>
              <w:jc w:val="center"/>
              <w:rPr>
                <w:rFonts w:cs="Arial"/>
              </w:rPr>
            </w:pPr>
            <w:r w:rsidRPr="006652BC">
              <w:rPr>
                <w:rFonts w:cs="Arial"/>
              </w:rPr>
              <w:t>A</w:t>
            </w:r>
          </w:p>
        </w:tc>
        <w:tc>
          <w:tcPr>
            <w:tcW w:w="3330" w:type="dxa"/>
            <w:vAlign w:val="center"/>
          </w:tcPr>
          <w:p w14:paraId="103A4BD6" w14:textId="3CBF5405" w:rsidR="008E568E" w:rsidRPr="006652BC" w:rsidRDefault="008E568E" w:rsidP="00621FD5">
            <w:pPr>
              <w:spacing w:after="0" w:line="240" w:lineRule="auto"/>
              <w:jc w:val="center"/>
              <w:rPr>
                <w:rFonts w:cs="Arial"/>
              </w:rPr>
            </w:pPr>
            <w:r w:rsidRPr="006652BC">
              <w:rPr>
                <w:rFonts w:cs="Arial"/>
              </w:rPr>
              <w:t>9</w:t>
            </w:r>
            <w:r>
              <w:rPr>
                <w:rFonts w:cs="Arial"/>
              </w:rPr>
              <w:t>3</w:t>
            </w:r>
            <w:r w:rsidRPr="006652BC">
              <w:rPr>
                <w:rFonts w:cs="Arial"/>
              </w:rPr>
              <w:t>.00-100%</w:t>
            </w:r>
          </w:p>
        </w:tc>
        <w:tc>
          <w:tcPr>
            <w:tcW w:w="2004" w:type="dxa"/>
            <w:vAlign w:val="center"/>
          </w:tcPr>
          <w:p w14:paraId="277C0C50" w14:textId="77777777" w:rsidR="008E568E" w:rsidRPr="006652BC" w:rsidRDefault="008E568E" w:rsidP="00621FD5">
            <w:pPr>
              <w:spacing w:after="0" w:line="240" w:lineRule="auto"/>
              <w:jc w:val="center"/>
              <w:rPr>
                <w:rFonts w:cs="Arial"/>
              </w:rPr>
            </w:pPr>
            <w:r w:rsidRPr="006652BC">
              <w:rPr>
                <w:rFonts w:cs="Arial"/>
              </w:rPr>
              <w:t>4.0</w:t>
            </w:r>
          </w:p>
        </w:tc>
      </w:tr>
      <w:tr w:rsidR="008E568E" w:rsidRPr="006652BC" w14:paraId="205B1AE2" w14:textId="77777777" w:rsidTr="008E568E">
        <w:trPr>
          <w:jc w:val="center"/>
        </w:trPr>
        <w:tc>
          <w:tcPr>
            <w:tcW w:w="1105" w:type="dxa"/>
            <w:vAlign w:val="center"/>
          </w:tcPr>
          <w:p w14:paraId="689D550F" w14:textId="7607C285" w:rsidR="008E568E" w:rsidRPr="006652BC" w:rsidRDefault="008E568E" w:rsidP="00621FD5">
            <w:pPr>
              <w:spacing w:after="0" w:line="240" w:lineRule="auto"/>
              <w:jc w:val="center"/>
              <w:rPr>
                <w:rFonts w:cs="Arial"/>
              </w:rPr>
            </w:pPr>
            <w:r>
              <w:rPr>
                <w:rFonts w:cs="Arial"/>
              </w:rPr>
              <w:t>A-</w:t>
            </w:r>
          </w:p>
        </w:tc>
        <w:tc>
          <w:tcPr>
            <w:tcW w:w="3330" w:type="dxa"/>
            <w:vAlign w:val="center"/>
          </w:tcPr>
          <w:p w14:paraId="67C5CA2F" w14:textId="05313E76" w:rsidR="008E568E" w:rsidRPr="006652BC" w:rsidRDefault="008E568E" w:rsidP="00621FD5">
            <w:pPr>
              <w:spacing w:after="0" w:line="240" w:lineRule="auto"/>
              <w:jc w:val="center"/>
              <w:rPr>
                <w:rFonts w:cs="Arial"/>
              </w:rPr>
            </w:pPr>
            <w:r>
              <w:rPr>
                <w:rFonts w:cs="Arial"/>
              </w:rPr>
              <w:t>90</w:t>
            </w:r>
            <w:r w:rsidR="00375393">
              <w:rPr>
                <w:rFonts w:cs="Arial"/>
              </w:rPr>
              <w:t>.00% - &lt;93.00%</w:t>
            </w:r>
          </w:p>
        </w:tc>
        <w:tc>
          <w:tcPr>
            <w:tcW w:w="2004" w:type="dxa"/>
            <w:vAlign w:val="center"/>
          </w:tcPr>
          <w:p w14:paraId="29EA6616" w14:textId="6CA2D59D" w:rsidR="008E568E" w:rsidRPr="006652BC" w:rsidRDefault="008E568E" w:rsidP="00621FD5">
            <w:pPr>
              <w:spacing w:after="0" w:line="240" w:lineRule="auto"/>
              <w:jc w:val="center"/>
              <w:rPr>
                <w:rFonts w:cs="Arial"/>
              </w:rPr>
            </w:pPr>
            <w:r>
              <w:rPr>
                <w:rFonts w:cs="Arial"/>
              </w:rPr>
              <w:t>3.67</w:t>
            </w:r>
          </w:p>
        </w:tc>
      </w:tr>
      <w:tr w:rsidR="008E568E" w:rsidRPr="006652BC" w14:paraId="0838E258" w14:textId="77777777" w:rsidTr="008E568E">
        <w:trPr>
          <w:jc w:val="center"/>
        </w:trPr>
        <w:tc>
          <w:tcPr>
            <w:tcW w:w="1105" w:type="dxa"/>
            <w:vAlign w:val="center"/>
          </w:tcPr>
          <w:p w14:paraId="28CDE109" w14:textId="77777777" w:rsidR="008E568E" w:rsidRPr="006652BC" w:rsidRDefault="008E568E" w:rsidP="00621FD5">
            <w:pPr>
              <w:spacing w:after="0" w:line="240" w:lineRule="auto"/>
              <w:jc w:val="center"/>
              <w:rPr>
                <w:rFonts w:cs="Arial"/>
              </w:rPr>
            </w:pPr>
            <w:r w:rsidRPr="006652BC">
              <w:rPr>
                <w:rFonts w:cs="Arial"/>
              </w:rPr>
              <w:t xml:space="preserve">  B+</w:t>
            </w:r>
          </w:p>
        </w:tc>
        <w:tc>
          <w:tcPr>
            <w:tcW w:w="3330" w:type="dxa"/>
            <w:vAlign w:val="center"/>
          </w:tcPr>
          <w:p w14:paraId="71212444" w14:textId="54B1354A" w:rsidR="008E568E" w:rsidRPr="006652BC" w:rsidRDefault="008E568E" w:rsidP="00621FD5">
            <w:pPr>
              <w:spacing w:after="0" w:line="240" w:lineRule="auto"/>
              <w:jc w:val="center"/>
              <w:rPr>
                <w:rFonts w:cs="Arial"/>
              </w:rPr>
            </w:pPr>
            <w:r w:rsidRPr="006652BC">
              <w:rPr>
                <w:rFonts w:cs="Arial"/>
              </w:rPr>
              <w:t>8</w:t>
            </w:r>
            <w:r w:rsidR="00375393">
              <w:rPr>
                <w:rFonts w:cs="Arial"/>
              </w:rPr>
              <w:t>7</w:t>
            </w:r>
            <w:r w:rsidRPr="006652BC">
              <w:rPr>
                <w:rFonts w:cs="Arial"/>
              </w:rPr>
              <w:t>.</w:t>
            </w:r>
            <w:r w:rsidR="00375393">
              <w:rPr>
                <w:rFonts w:cs="Arial"/>
              </w:rPr>
              <w:t>00</w:t>
            </w:r>
            <w:r w:rsidRPr="006652BC">
              <w:rPr>
                <w:rFonts w:cs="Arial"/>
              </w:rPr>
              <w:t>%</w:t>
            </w:r>
            <w:r w:rsidR="00F765EF">
              <w:rPr>
                <w:rFonts w:cs="Arial"/>
              </w:rPr>
              <w:t xml:space="preserve"> - &lt;90.00%</w:t>
            </w:r>
          </w:p>
        </w:tc>
        <w:tc>
          <w:tcPr>
            <w:tcW w:w="2004" w:type="dxa"/>
            <w:vAlign w:val="center"/>
          </w:tcPr>
          <w:p w14:paraId="1F7936D2" w14:textId="77777777" w:rsidR="008E568E" w:rsidRPr="006652BC" w:rsidRDefault="008E568E" w:rsidP="00621FD5">
            <w:pPr>
              <w:spacing w:after="0" w:line="240" w:lineRule="auto"/>
              <w:jc w:val="center"/>
              <w:rPr>
                <w:rFonts w:cs="Arial"/>
              </w:rPr>
            </w:pPr>
            <w:r w:rsidRPr="006652BC">
              <w:rPr>
                <w:rFonts w:cs="Arial"/>
              </w:rPr>
              <w:t>3.33</w:t>
            </w:r>
          </w:p>
        </w:tc>
      </w:tr>
      <w:tr w:rsidR="008E568E" w:rsidRPr="006652BC" w14:paraId="585868C5" w14:textId="77777777" w:rsidTr="008E568E">
        <w:trPr>
          <w:jc w:val="center"/>
        </w:trPr>
        <w:tc>
          <w:tcPr>
            <w:tcW w:w="1105" w:type="dxa"/>
            <w:vAlign w:val="center"/>
          </w:tcPr>
          <w:p w14:paraId="09500B76" w14:textId="77777777" w:rsidR="008E568E" w:rsidRPr="006652BC" w:rsidRDefault="008E568E" w:rsidP="00621FD5">
            <w:pPr>
              <w:spacing w:after="0" w:line="240" w:lineRule="auto"/>
              <w:jc w:val="center"/>
              <w:rPr>
                <w:rFonts w:cs="Arial"/>
              </w:rPr>
            </w:pPr>
            <w:r w:rsidRPr="006652BC">
              <w:rPr>
                <w:rFonts w:cs="Arial"/>
              </w:rPr>
              <w:t>B</w:t>
            </w:r>
          </w:p>
        </w:tc>
        <w:tc>
          <w:tcPr>
            <w:tcW w:w="3330" w:type="dxa"/>
            <w:vAlign w:val="center"/>
          </w:tcPr>
          <w:p w14:paraId="133D0EF0" w14:textId="451FE6FB" w:rsidR="008E568E" w:rsidRPr="006652BC" w:rsidRDefault="00F765EF" w:rsidP="00621FD5">
            <w:pPr>
              <w:spacing w:after="0" w:line="240" w:lineRule="auto"/>
              <w:jc w:val="center"/>
              <w:rPr>
                <w:rFonts w:cs="Arial"/>
              </w:rPr>
            </w:pPr>
            <w:r>
              <w:rPr>
                <w:rFonts w:cs="Arial"/>
              </w:rPr>
              <w:t>83.00% - &lt;87.00%</w:t>
            </w:r>
          </w:p>
        </w:tc>
        <w:tc>
          <w:tcPr>
            <w:tcW w:w="2004" w:type="dxa"/>
            <w:vAlign w:val="center"/>
          </w:tcPr>
          <w:p w14:paraId="2872D4BF" w14:textId="77777777" w:rsidR="008E568E" w:rsidRPr="006652BC" w:rsidRDefault="008E568E" w:rsidP="00621FD5">
            <w:pPr>
              <w:spacing w:after="0" w:line="240" w:lineRule="auto"/>
              <w:jc w:val="center"/>
              <w:rPr>
                <w:rFonts w:cs="Arial"/>
              </w:rPr>
            </w:pPr>
            <w:r w:rsidRPr="006652BC">
              <w:rPr>
                <w:rFonts w:cs="Arial"/>
              </w:rPr>
              <w:t>3.0</w:t>
            </w:r>
          </w:p>
        </w:tc>
      </w:tr>
      <w:tr w:rsidR="008E568E" w:rsidRPr="006652BC" w14:paraId="0B6A4AF3" w14:textId="77777777" w:rsidTr="008E568E">
        <w:trPr>
          <w:jc w:val="center"/>
        </w:trPr>
        <w:tc>
          <w:tcPr>
            <w:tcW w:w="1105" w:type="dxa"/>
            <w:vAlign w:val="center"/>
          </w:tcPr>
          <w:p w14:paraId="0F02080B" w14:textId="6ABBC86A" w:rsidR="008E568E" w:rsidRPr="006652BC" w:rsidRDefault="008E568E" w:rsidP="00621FD5">
            <w:pPr>
              <w:spacing w:after="0" w:line="240" w:lineRule="auto"/>
              <w:jc w:val="center"/>
              <w:rPr>
                <w:rFonts w:cs="Arial"/>
              </w:rPr>
            </w:pPr>
            <w:r>
              <w:rPr>
                <w:rFonts w:cs="Arial"/>
              </w:rPr>
              <w:t>B-</w:t>
            </w:r>
          </w:p>
        </w:tc>
        <w:tc>
          <w:tcPr>
            <w:tcW w:w="3330" w:type="dxa"/>
            <w:vAlign w:val="center"/>
          </w:tcPr>
          <w:p w14:paraId="50287AD8" w14:textId="4808E4EE" w:rsidR="008E568E" w:rsidRPr="006652BC" w:rsidRDefault="00AD0D9C" w:rsidP="00621FD5">
            <w:pPr>
              <w:spacing w:after="0" w:line="240" w:lineRule="auto"/>
              <w:jc w:val="center"/>
              <w:rPr>
                <w:rFonts w:cs="Arial"/>
              </w:rPr>
            </w:pPr>
            <w:r>
              <w:rPr>
                <w:rFonts w:cs="Arial"/>
              </w:rPr>
              <w:t>80.00% - &lt;83.00%</w:t>
            </w:r>
          </w:p>
        </w:tc>
        <w:tc>
          <w:tcPr>
            <w:tcW w:w="2004" w:type="dxa"/>
            <w:vAlign w:val="center"/>
          </w:tcPr>
          <w:p w14:paraId="3BFD9C84" w14:textId="3DE9CCAA" w:rsidR="008E568E" w:rsidRPr="006652BC" w:rsidRDefault="008E568E" w:rsidP="00621FD5">
            <w:pPr>
              <w:spacing w:after="0" w:line="240" w:lineRule="auto"/>
              <w:jc w:val="center"/>
              <w:rPr>
                <w:rFonts w:cs="Arial"/>
              </w:rPr>
            </w:pPr>
            <w:r>
              <w:rPr>
                <w:rFonts w:cs="Arial"/>
              </w:rPr>
              <w:t>2.67</w:t>
            </w:r>
          </w:p>
        </w:tc>
      </w:tr>
      <w:tr w:rsidR="008E568E" w:rsidRPr="006652BC" w14:paraId="45A0021D" w14:textId="77777777" w:rsidTr="008E568E">
        <w:trPr>
          <w:jc w:val="center"/>
        </w:trPr>
        <w:tc>
          <w:tcPr>
            <w:tcW w:w="1105" w:type="dxa"/>
            <w:vAlign w:val="center"/>
          </w:tcPr>
          <w:p w14:paraId="52B82F0C" w14:textId="77777777" w:rsidR="008E568E" w:rsidRPr="006652BC" w:rsidRDefault="008E568E" w:rsidP="00621FD5">
            <w:pPr>
              <w:spacing w:after="0" w:line="240" w:lineRule="auto"/>
              <w:jc w:val="center"/>
              <w:rPr>
                <w:rFonts w:cs="Arial"/>
              </w:rPr>
            </w:pPr>
            <w:r w:rsidRPr="006652BC">
              <w:rPr>
                <w:rFonts w:cs="Arial"/>
              </w:rPr>
              <w:t xml:space="preserve">  C+</w:t>
            </w:r>
          </w:p>
        </w:tc>
        <w:tc>
          <w:tcPr>
            <w:tcW w:w="3330" w:type="dxa"/>
            <w:vAlign w:val="center"/>
          </w:tcPr>
          <w:p w14:paraId="1C297661" w14:textId="63A28A97" w:rsidR="008E568E" w:rsidRPr="006652BC" w:rsidRDefault="00AD0D9C" w:rsidP="00621FD5">
            <w:pPr>
              <w:spacing w:after="0" w:line="240" w:lineRule="auto"/>
              <w:jc w:val="center"/>
              <w:rPr>
                <w:rFonts w:cs="Arial"/>
              </w:rPr>
            </w:pPr>
            <w:r>
              <w:rPr>
                <w:rFonts w:cs="Arial"/>
              </w:rPr>
              <w:t>77.00</w:t>
            </w:r>
            <w:r w:rsidR="008E568E" w:rsidRPr="006652BC">
              <w:rPr>
                <w:rFonts w:cs="Arial"/>
              </w:rPr>
              <w:t>%</w:t>
            </w:r>
            <w:r>
              <w:rPr>
                <w:rFonts w:cs="Arial"/>
              </w:rPr>
              <w:t xml:space="preserve"> - &lt;80.00%</w:t>
            </w:r>
          </w:p>
        </w:tc>
        <w:tc>
          <w:tcPr>
            <w:tcW w:w="2004" w:type="dxa"/>
            <w:vAlign w:val="center"/>
          </w:tcPr>
          <w:p w14:paraId="7DAF3563" w14:textId="77777777" w:rsidR="008E568E" w:rsidRPr="006652BC" w:rsidRDefault="008E568E" w:rsidP="00621FD5">
            <w:pPr>
              <w:spacing w:after="0" w:line="240" w:lineRule="auto"/>
              <w:jc w:val="center"/>
              <w:rPr>
                <w:rFonts w:cs="Arial"/>
              </w:rPr>
            </w:pPr>
            <w:r w:rsidRPr="006652BC">
              <w:rPr>
                <w:rFonts w:cs="Arial"/>
              </w:rPr>
              <w:t>2.33</w:t>
            </w:r>
          </w:p>
        </w:tc>
      </w:tr>
      <w:tr w:rsidR="008E568E" w:rsidRPr="006652BC" w14:paraId="22D139D8" w14:textId="77777777" w:rsidTr="008E568E">
        <w:trPr>
          <w:jc w:val="center"/>
        </w:trPr>
        <w:tc>
          <w:tcPr>
            <w:tcW w:w="1105" w:type="dxa"/>
            <w:vAlign w:val="center"/>
          </w:tcPr>
          <w:p w14:paraId="267DE2C9" w14:textId="77777777" w:rsidR="008E568E" w:rsidRPr="006652BC" w:rsidRDefault="008E568E" w:rsidP="00621FD5">
            <w:pPr>
              <w:spacing w:after="0" w:line="240" w:lineRule="auto"/>
              <w:jc w:val="center"/>
              <w:rPr>
                <w:rFonts w:cs="Arial"/>
              </w:rPr>
            </w:pPr>
            <w:r w:rsidRPr="006652BC">
              <w:rPr>
                <w:rFonts w:cs="Arial"/>
              </w:rPr>
              <w:t>C</w:t>
            </w:r>
          </w:p>
        </w:tc>
        <w:tc>
          <w:tcPr>
            <w:tcW w:w="3330" w:type="dxa"/>
            <w:vAlign w:val="center"/>
          </w:tcPr>
          <w:p w14:paraId="1EA1123F" w14:textId="403FA769" w:rsidR="008E568E" w:rsidRPr="006652BC" w:rsidRDefault="005A23AF" w:rsidP="00621FD5">
            <w:pPr>
              <w:spacing w:after="0" w:line="240" w:lineRule="auto"/>
              <w:jc w:val="center"/>
              <w:rPr>
                <w:rFonts w:cs="Arial"/>
              </w:rPr>
            </w:pPr>
            <w:r>
              <w:rPr>
                <w:rFonts w:cs="Arial"/>
              </w:rPr>
              <w:t>73.00% - &lt;77.00%</w:t>
            </w:r>
          </w:p>
        </w:tc>
        <w:tc>
          <w:tcPr>
            <w:tcW w:w="2004" w:type="dxa"/>
            <w:vAlign w:val="center"/>
          </w:tcPr>
          <w:p w14:paraId="2445BF86" w14:textId="77777777" w:rsidR="008E568E" w:rsidRPr="006652BC" w:rsidRDefault="008E568E" w:rsidP="00621FD5">
            <w:pPr>
              <w:spacing w:after="0" w:line="240" w:lineRule="auto"/>
              <w:jc w:val="center"/>
              <w:rPr>
                <w:rFonts w:cs="Arial"/>
              </w:rPr>
            </w:pPr>
            <w:r w:rsidRPr="006652BC">
              <w:rPr>
                <w:rFonts w:cs="Arial"/>
              </w:rPr>
              <w:t>2.0</w:t>
            </w:r>
          </w:p>
        </w:tc>
      </w:tr>
      <w:tr w:rsidR="008E568E" w:rsidRPr="006652BC" w14:paraId="1503E0B6" w14:textId="77777777" w:rsidTr="008E568E">
        <w:trPr>
          <w:jc w:val="center"/>
        </w:trPr>
        <w:tc>
          <w:tcPr>
            <w:tcW w:w="1105" w:type="dxa"/>
            <w:vAlign w:val="center"/>
          </w:tcPr>
          <w:p w14:paraId="5BD688FB" w14:textId="67514820" w:rsidR="008E568E" w:rsidRPr="006652BC" w:rsidRDefault="008E568E" w:rsidP="00621FD5">
            <w:pPr>
              <w:spacing w:after="0" w:line="240" w:lineRule="auto"/>
              <w:jc w:val="center"/>
              <w:rPr>
                <w:rFonts w:cs="Arial"/>
              </w:rPr>
            </w:pPr>
            <w:r>
              <w:rPr>
                <w:rFonts w:cs="Arial"/>
              </w:rPr>
              <w:t>C-</w:t>
            </w:r>
          </w:p>
        </w:tc>
        <w:tc>
          <w:tcPr>
            <w:tcW w:w="3330" w:type="dxa"/>
            <w:vAlign w:val="center"/>
          </w:tcPr>
          <w:p w14:paraId="6F8F7EBB" w14:textId="24224A31" w:rsidR="008E568E" w:rsidRPr="006652BC" w:rsidRDefault="003856BF" w:rsidP="00621FD5">
            <w:pPr>
              <w:spacing w:after="0" w:line="240" w:lineRule="auto"/>
              <w:jc w:val="center"/>
              <w:rPr>
                <w:rFonts w:cs="Arial"/>
              </w:rPr>
            </w:pPr>
            <w:r>
              <w:rPr>
                <w:rFonts w:cs="Arial"/>
              </w:rPr>
              <w:t>70.00% - &lt;73.00%</w:t>
            </w:r>
          </w:p>
        </w:tc>
        <w:tc>
          <w:tcPr>
            <w:tcW w:w="2004" w:type="dxa"/>
            <w:vAlign w:val="center"/>
          </w:tcPr>
          <w:p w14:paraId="6EFDADDD" w14:textId="22F22BEA" w:rsidR="008E568E" w:rsidRPr="006652BC" w:rsidRDefault="008E568E" w:rsidP="00621FD5">
            <w:pPr>
              <w:spacing w:after="0" w:line="240" w:lineRule="auto"/>
              <w:jc w:val="center"/>
              <w:rPr>
                <w:rFonts w:cs="Arial"/>
              </w:rPr>
            </w:pPr>
            <w:r>
              <w:rPr>
                <w:rFonts w:cs="Arial"/>
              </w:rPr>
              <w:t>1.67</w:t>
            </w:r>
          </w:p>
        </w:tc>
      </w:tr>
      <w:tr w:rsidR="008E568E" w:rsidRPr="006652BC" w14:paraId="202D99B4" w14:textId="77777777" w:rsidTr="008E568E">
        <w:trPr>
          <w:jc w:val="center"/>
        </w:trPr>
        <w:tc>
          <w:tcPr>
            <w:tcW w:w="1105" w:type="dxa"/>
            <w:vAlign w:val="center"/>
          </w:tcPr>
          <w:p w14:paraId="4FA4D5DB" w14:textId="77777777" w:rsidR="008E568E" w:rsidRPr="006652BC" w:rsidRDefault="008E568E" w:rsidP="00621FD5">
            <w:pPr>
              <w:spacing w:after="0" w:line="240" w:lineRule="auto"/>
              <w:jc w:val="center"/>
              <w:rPr>
                <w:rFonts w:cs="Arial"/>
              </w:rPr>
            </w:pPr>
            <w:r w:rsidRPr="006652BC">
              <w:rPr>
                <w:rFonts w:cs="Arial"/>
              </w:rPr>
              <w:t xml:space="preserve">  D+</w:t>
            </w:r>
          </w:p>
        </w:tc>
        <w:tc>
          <w:tcPr>
            <w:tcW w:w="3330" w:type="dxa"/>
            <w:vAlign w:val="center"/>
          </w:tcPr>
          <w:p w14:paraId="665FBB1F" w14:textId="4117E1D9" w:rsidR="008E568E" w:rsidRPr="006652BC" w:rsidRDefault="003856BF" w:rsidP="00621FD5">
            <w:pPr>
              <w:spacing w:after="0" w:line="240" w:lineRule="auto"/>
              <w:jc w:val="center"/>
              <w:rPr>
                <w:rFonts w:cs="Arial"/>
              </w:rPr>
            </w:pPr>
            <w:r>
              <w:rPr>
                <w:rFonts w:cs="Arial"/>
              </w:rPr>
              <w:t>67.00% - &lt;70.00%</w:t>
            </w:r>
          </w:p>
        </w:tc>
        <w:tc>
          <w:tcPr>
            <w:tcW w:w="2004" w:type="dxa"/>
            <w:vAlign w:val="center"/>
          </w:tcPr>
          <w:p w14:paraId="019A86AF" w14:textId="77777777" w:rsidR="008E568E" w:rsidRPr="006652BC" w:rsidRDefault="008E568E" w:rsidP="00621FD5">
            <w:pPr>
              <w:spacing w:after="0" w:line="240" w:lineRule="auto"/>
              <w:jc w:val="center"/>
              <w:rPr>
                <w:rFonts w:cs="Arial"/>
              </w:rPr>
            </w:pPr>
            <w:r w:rsidRPr="006652BC">
              <w:rPr>
                <w:rFonts w:cs="Arial"/>
              </w:rPr>
              <w:t>1.33</w:t>
            </w:r>
          </w:p>
        </w:tc>
      </w:tr>
      <w:tr w:rsidR="008E568E" w:rsidRPr="006652BC" w14:paraId="785ADEC8" w14:textId="77777777" w:rsidTr="008E568E">
        <w:trPr>
          <w:jc w:val="center"/>
        </w:trPr>
        <w:tc>
          <w:tcPr>
            <w:tcW w:w="1105" w:type="dxa"/>
            <w:vAlign w:val="center"/>
          </w:tcPr>
          <w:p w14:paraId="106E55BA" w14:textId="77777777" w:rsidR="008E568E" w:rsidRPr="006652BC" w:rsidRDefault="008E568E" w:rsidP="00621FD5">
            <w:pPr>
              <w:spacing w:after="0" w:line="240" w:lineRule="auto"/>
              <w:jc w:val="center"/>
              <w:rPr>
                <w:rFonts w:cs="Arial"/>
              </w:rPr>
            </w:pPr>
            <w:r w:rsidRPr="006652BC">
              <w:rPr>
                <w:rFonts w:cs="Arial"/>
              </w:rPr>
              <w:t>D</w:t>
            </w:r>
          </w:p>
        </w:tc>
        <w:tc>
          <w:tcPr>
            <w:tcW w:w="3330" w:type="dxa"/>
            <w:vAlign w:val="center"/>
          </w:tcPr>
          <w:p w14:paraId="4646035A" w14:textId="71562C25" w:rsidR="008E568E" w:rsidRPr="006652BC" w:rsidRDefault="003856BF" w:rsidP="00621FD5">
            <w:pPr>
              <w:spacing w:after="0" w:line="240" w:lineRule="auto"/>
              <w:jc w:val="center"/>
              <w:rPr>
                <w:rFonts w:cs="Arial"/>
              </w:rPr>
            </w:pPr>
            <w:r>
              <w:rPr>
                <w:rFonts w:cs="Arial"/>
              </w:rPr>
              <w:t>63.00% - &lt;67.00%</w:t>
            </w:r>
          </w:p>
        </w:tc>
        <w:tc>
          <w:tcPr>
            <w:tcW w:w="2004" w:type="dxa"/>
            <w:vAlign w:val="center"/>
          </w:tcPr>
          <w:p w14:paraId="06FB78ED" w14:textId="77777777" w:rsidR="008E568E" w:rsidRPr="006652BC" w:rsidRDefault="008E568E" w:rsidP="00621FD5">
            <w:pPr>
              <w:spacing w:after="0" w:line="240" w:lineRule="auto"/>
              <w:jc w:val="center"/>
              <w:rPr>
                <w:rFonts w:cs="Arial"/>
              </w:rPr>
            </w:pPr>
            <w:r w:rsidRPr="006652BC">
              <w:rPr>
                <w:rFonts w:cs="Arial"/>
              </w:rPr>
              <w:t>1.0</w:t>
            </w:r>
          </w:p>
        </w:tc>
      </w:tr>
      <w:tr w:rsidR="008E568E" w:rsidRPr="006652BC" w14:paraId="3FF223CB" w14:textId="77777777" w:rsidTr="008E568E">
        <w:trPr>
          <w:jc w:val="center"/>
        </w:trPr>
        <w:tc>
          <w:tcPr>
            <w:tcW w:w="1105" w:type="dxa"/>
            <w:vAlign w:val="center"/>
          </w:tcPr>
          <w:p w14:paraId="0DD84982" w14:textId="7C69D406" w:rsidR="008E568E" w:rsidRPr="006652BC" w:rsidRDefault="008E568E" w:rsidP="00621FD5">
            <w:pPr>
              <w:spacing w:after="0" w:line="240" w:lineRule="auto"/>
              <w:jc w:val="center"/>
              <w:rPr>
                <w:rFonts w:cs="Arial"/>
              </w:rPr>
            </w:pPr>
            <w:r>
              <w:rPr>
                <w:rFonts w:cs="Arial"/>
              </w:rPr>
              <w:t>D-</w:t>
            </w:r>
          </w:p>
        </w:tc>
        <w:tc>
          <w:tcPr>
            <w:tcW w:w="3330" w:type="dxa"/>
            <w:vAlign w:val="center"/>
          </w:tcPr>
          <w:p w14:paraId="40B34E71" w14:textId="6CFC5270" w:rsidR="008E568E" w:rsidRPr="006652BC" w:rsidRDefault="003E104E" w:rsidP="00621FD5">
            <w:pPr>
              <w:spacing w:after="0" w:line="240" w:lineRule="auto"/>
              <w:jc w:val="center"/>
              <w:rPr>
                <w:rFonts w:cs="Arial"/>
              </w:rPr>
            </w:pPr>
            <w:r>
              <w:rPr>
                <w:rFonts w:cs="Arial"/>
              </w:rPr>
              <w:t>60.00% - &lt;63.00%</w:t>
            </w:r>
          </w:p>
        </w:tc>
        <w:tc>
          <w:tcPr>
            <w:tcW w:w="2004" w:type="dxa"/>
            <w:vAlign w:val="center"/>
          </w:tcPr>
          <w:p w14:paraId="39D51E24" w14:textId="1FD3A21D" w:rsidR="008E568E" w:rsidRPr="006652BC" w:rsidRDefault="008E568E" w:rsidP="00621FD5">
            <w:pPr>
              <w:spacing w:after="0" w:line="240" w:lineRule="auto"/>
              <w:jc w:val="center"/>
              <w:rPr>
                <w:rFonts w:cs="Arial"/>
              </w:rPr>
            </w:pPr>
            <w:r>
              <w:rPr>
                <w:rFonts w:cs="Arial"/>
              </w:rPr>
              <w:t>0.67</w:t>
            </w:r>
          </w:p>
        </w:tc>
      </w:tr>
      <w:tr w:rsidR="008E568E" w:rsidRPr="006652BC" w14:paraId="4F2B724E" w14:textId="77777777" w:rsidTr="008E568E">
        <w:trPr>
          <w:jc w:val="center"/>
        </w:trPr>
        <w:tc>
          <w:tcPr>
            <w:tcW w:w="1105" w:type="dxa"/>
            <w:vAlign w:val="center"/>
          </w:tcPr>
          <w:p w14:paraId="512191D2" w14:textId="690969FD" w:rsidR="008E568E" w:rsidRPr="006652BC" w:rsidRDefault="003E104E" w:rsidP="00621FD5">
            <w:pPr>
              <w:spacing w:after="0" w:line="240" w:lineRule="auto"/>
              <w:jc w:val="center"/>
              <w:rPr>
                <w:rFonts w:cs="Arial"/>
              </w:rPr>
            </w:pPr>
            <w:r>
              <w:rPr>
                <w:rFonts w:cs="Arial"/>
              </w:rPr>
              <w:t>F</w:t>
            </w:r>
          </w:p>
        </w:tc>
        <w:tc>
          <w:tcPr>
            <w:tcW w:w="3330" w:type="dxa"/>
            <w:vAlign w:val="center"/>
          </w:tcPr>
          <w:p w14:paraId="39CD9A81" w14:textId="7302FE74" w:rsidR="008E568E" w:rsidRPr="006652BC" w:rsidRDefault="003E104E" w:rsidP="00621FD5">
            <w:pPr>
              <w:spacing w:after="0" w:line="240" w:lineRule="auto"/>
              <w:jc w:val="center"/>
              <w:rPr>
                <w:rFonts w:cs="Arial"/>
              </w:rPr>
            </w:pPr>
            <w:r>
              <w:rPr>
                <w:rFonts w:cs="Arial"/>
              </w:rPr>
              <w:t>&lt;60.00%</w:t>
            </w:r>
          </w:p>
        </w:tc>
        <w:tc>
          <w:tcPr>
            <w:tcW w:w="2004" w:type="dxa"/>
            <w:vAlign w:val="center"/>
          </w:tcPr>
          <w:p w14:paraId="1FAD1C82" w14:textId="77777777" w:rsidR="008E568E" w:rsidRPr="006652BC" w:rsidRDefault="008E568E" w:rsidP="00621FD5">
            <w:pPr>
              <w:spacing w:after="0" w:line="240" w:lineRule="auto"/>
              <w:jc w:val="center"/>
              <w:rPr>
                <w:rFonts w:cs="Arial"/>
              </w:rPr>
            </w:pPr>
            <w:r w:rsidRPr="006652BC">
              <w:rPr>
                <w:rFonts w:cs="Arial"/>
              </w:rPr>
              <w:t>0</w:t>
            </w:r>
          </w:p>
        </w:tc>
      </w:tr>
    </w:tbl>
    <w:p w14:paraId="073A1DDF" w14:textId="77777777" w:rsidR="00C83A85" w:rsidRDefault="00C83A85" w:rsidP="000D53EF">
      <w:pPr>
        <w:pStyle w:val="Heading2"/>
      </w:pPr>
    </w:p>
    <w:p w14:paraId="7EA5F56B" w14:textId="7EB88102" w:rsidR="00667824" w:rsidRDefault="009919C3" w:rsidP="000D53EF">
      <w:pPr>
        <w:pStyle w:val="Heading2"/>
      </w:pPr>
      <w:r>
        <w:t xml:space="preserve">Weekly </w:t>
      </w:r>
      <w:r w:rsidR="0026623C">
        <w:t>Course Schedule</w:t>
      </w:r>
    </w:p>
    <w:p w14:paraId="53574BB3" w14:textId="56FFF648" w:rsidR="000D53EF" w:rsidRDefault="000D53EF" w:rsidP="000D53EF"/>
    <w:p w14:paraId="34980358" w14:textId="615F6590" w:rsidR="000D53EF" w:rsidRDefault="00D60C7E" w:rsidP="000D53EF">
      <w:pPr>
        <w:pStyle w:val="Heading3"/>
      </w:pPr>
      <w:r>
        <w:t>CRITICAL DATES &amp; UF OBSERVED HOLIDAYS</w:t>
      </w:r>
    </w:p>
    <w:p w14:paraId="39C7D949" w14:textId="6B2D6999" w:rsidR="008F512E" w:rsidRDefault="000D53EF" w:rsidP="008F512E">
      <w:pPr>
        <w:pStyle w:val="ListParagraph"/>
        <w:numPr>
          <w:ilvl w:val="0"/>
          <w:numId w:val="16"/>
        </w:numPr>
        <w:rPr>
          <w:sz w:val="24"/>
          <w:szCs w:val="24"/>
        </w:rPr>
      </w:pPr>
      <w:r w:rsidRPr="000D53EF">
        <w:t xml:space="preserve">Complete list available here: </w:t>
      </w:r>
      <w:hyperlink r:id="rId11" w:history="1">
        <w:r w:rsidRPr="000D53EF">
          <w:rPr>
            <w:rStyle w:val="Hyperlink"/>
          </w:rPr>
          <w:t>https://catalog.ufl.edu/UGRD/dates-deadlines/2021- 2022/</w:t>
        </w:r>
      </w:hyperlink>
      <w:r w:rsidRPr="000D53EF">
        <w:rPr>
          <w:sz w:val="24"/>
          <w:szCs w:val="24"/>
        </w:rPr>
        <w:t xml:space="preserve">  </w:t>
      </w:r>
    </w:p>
    <w:p w14:paraId="1F781045" w14:textId="58095458" w:rsidR="00064811" w:rsidRDefault="00D60C7E" w:rsidP="00C91324">
      <w:pPr>
        <w:pStyle w:val="Heading3"/>
      </w:pPr>
      <w:r>
        <w:t>WEEKLY SCHEDULE</w:t>
      </w:r>
    </w:p>
    <w:p w14:paraId="21800BAD" w14:textId="77777777" w:rsidR="00D60C7E" w:rsidRPr="00D60C7E" w:rsidRDefault="00D60C7E" w:rsidP="00D60C7E"/>
    <w:tbl>
      <w:tblPr>
        <w:tblStyle w:val="TableGridLight"/>
        <w:tblW w:w="10183" w:type="dxa"/>
        <w:tblCellMar>
          <w:top w:w="115" w:type="dxa"/>
          <w:bottom w:w="115" w:type="dxa"/>
        </w:tblCellMar>
        <w:tblLook w:val="04A0" w:firstRow="1" w:lastRow="0" w:firstColumn="1" w:lastColumn="0" w:noHBand="0" w:noVBand="1"/>
      </w:tblPr>
      <w:tblGrid>
        <w:gridCol w:w="839"/>
        <w:gridCol w:w="1136"/>
        <w:gridCol w:w="4410"/>
        <w:gridCol w:w="3798"/>
      </w:tblGrid>
      <w:tr w:rsidR="00064811" w14:paraId="4EBD223A" w14:textId="77777777" w:rsidTr="008F60DF">
        <w:tc>
          <w:tcPr>
            <w:tcW w:w="839"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36"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410" w:type="dxa"/>
            <w:shd w:val="clear" w:color="auto" w:fill="0070C0"/>
            <w:vAlign w:val="center"/>
          </w:tcPr>
          <w:p w14:paraId="5815DC44" w14:textId="16067661" w:rsidR="00064811" w:rsidRPr="00DA6C87" w:rsidRDefault="00064811" w:rsidP="008F60DF">
            <w:pPr>
              <w:rPr>
                <w:b/>
                <w:bCs/>
                <w:color w:val="FFFFFF" w:themeColor="background1"/>
              </w:rPr>
            </w:pPr>
            <w:r w:rsidRPr="00DA6C87">
              <w:rPr>
                <w:b/>
                <w:bCs/>
                <w:color w:val="FFFFFF" w:themeColor="background1"/>
              </w:rPr>
              <w:t>Assigned Module &amp; Schedule Notes</w:t>
            </w:r>
          </w:p>
        </w:tc>
        <w:tc>
          <w:tcPr>
            <w:tcW w:w="3798" w:type="dxa"/>
            <w:shd w:val="clear" w:color="auto" w:fill="0070C0"/>
            <w:vAlign w:val="center"/>
          </w:tcPr>
          <w:p w14:paraId="59AFF7AA" w14:textId="3DBF23BF" w:rsidR="00064811" w:rsidRPr="00DA6C87" w:rsidRDefault="00064811" w:rsidP="008F60DF">
            <w:pPr>
              <w:rPr>
                <w:b/>
                <w:bCs/>
                <w:color w:val="FFFFFF" w:themeColor="background1"/>
              </w:rPr>
            </w:pPr>
            <w:r w:rsidRPr="00DA6C87">
              <w:rPr>
                <w:b/>
                <w:bCs/>
                <w:color w:val="FFFFFF" w:themeColor="background1"/>
              </w:rPr>
              <w:t>Assessments Due</w:t>
            </w:r>
          </w:p>
        </w:tc>
      </w:tr>
      <w:tr w:rsidR="00D60C7E" w14:paraId="76C70DE0" w14:textId="77777777" w:rsidTr="008F60DF">
        <w:tc>
          <w:tcPr>
            <w:tcW w:w="839" w:type="dxa"/>
            <w:vAlign w:val="center"/>
          </w:tcPr>
          <w:p w14:paraId="48D6F35F" w14:textId="0C1D7C6E" w:rsidR="00D60C7E" w:rsidRDefault="00D60C7E" w:rsidP="008F60DF">
            <w:r>
              <w:t>1</w:t>
            </w:r>
          </w:p>
        </w:tc>
        <w:tc>
          <w:tcPr>
            <w:tcW w:w="1136" w:type="dxa"/>
            <w:vAlign w:val="center"/>
          </w:tcPr>
          <w:p w14:paraId="0361CA90" w14:textId="77777777" w:rsidR="00D60C7E" w:rsidRDefault="00D60C7E" w:rsidP="008F60DF">
            <w:r>
              <w:t>January</w:t>
            </w:r>
          </w:p>
          <w:p w14:paraId="7943575A" w14:textId="7E01C2F6" w:rsidR="00D60C7E" w:rsidRDefault="00C66257" w:rsidP="008F60DF">
            <w:r>
              <w:t>12</w:t>
            </w:r>
            <w:r w:rsidR="00D60C7E">
              <w:t xml:space="preserve"> – </w:t>
            </w:r>
            <w:r w:rsidR="00F00C11">
              <w:t>16</w:t>
            </w:r>
          </w:p>
        </w:tc>
        <w:tc>
          <w:tcPr>
            <w:tcW w:w="4410" w:type="dxa"/>
            <w:vAlign w:val="center"/>
          </w:tcPr>
          <w:p w14:paraId="277B21B7" w14:textId="08C67BE1" w:rsidR="00D60C7E" w:rsidRDefault="005D7ACF" w:rsidP="008F60DF">
            <w:r>
              <w:t>Introduction</w:t>
            </w:r>
          </w:p>
        </w:tc>
        <w:tc>
          <w:tcPr>
            <w:tcW w:w="3798" w:type="dxa"/>
            <w:vAlign w:val="center"/>
          </w:tcPr>
          <w:p w14:paraId="39C9336F" w14:textId="4586912F" w:rsidR="00D60C7E" w:rsidRDefault="00D60C7E" w:rsidP="008F60DF"/>
        </w:tc>
      </w:tr>
      <w:tr w:rsidR="00D60C7E" w14:paraId="3EE46AB6" w14:textId="77777777" w:rsidTr="008F60DF">
        <w:tc>
          <w:tcPr>
            <w:tcW w:w="839" w:type="dxa"/>
            <w:vAlign w:val="center"/>
          </w:tcPr>
          <w:p w14:paraId="4D6C4170" w14:textId="623B4194" w:rsidR="00D60C7E" w:rsidRDefault="00D60C7E" w:rsidP="008F60DF">
            <w:r>
              <w:t>2</w:t>
            </w:r>
          </w:p>
        </w:tc>
        <w:tc>
          <w:tcPr>
            <w:tcW w:w="1136" w:type="dxa"/>
            <w:vAlign w:val="center"/>
          </w:tcPr>
          <w:p w14:paraId="2622A397" w14:textId="5FD6C274" w:rsidR="00D60C7E" w:rsidRDefault="00D60C7E" w:rsidP="008F60DF">
            <w:r>
              <w:t>January</w:t>
            </w:r>
          </w:p>
          <w:p w14:paraId="4D17314A" w14:textId="15075773" w:rsidR="00D60C7E" w:rsidRDefault="00F00C11" w:rsidP="008F60DF">
            <w:r>
              <w:t>19</w:t>
            </w:r>
            <w:r w:rsidR="00D60C7E">
              <w:t xml:space="preserve"> – 2</w:t>
            </w:r>
            <w:r>
              <w:t>3</w:t>
            </w:r>
          </w:p>
        </w:tc>
        <w:tc>
          <w:tcPr>
            <w:tcW w:w="4410" w:type="dxa"/>
            <w:vAlign w:val="center"/>
          </w:tcPr>
          <w:p w14:paraId="0DCAC84A" w14:textId="78343FCA" w:rsidR="00D60C7E" w:rsidRPr="005D7ACF" w:rsidRDefault="005D7ACF" w:rsidP="008F60DF">
            <w:r>
              <w:t>Strategic Communications</w:t>
            </w:r>
          </w:p>
        </w:tc>
        <w:tc>
          <w:tcPr>
            <w:tcW w:w="3798" w:type="dxa"/>
            <w:vAlign w:val="center"/>
          </w:tcPr>
          <w:p w14:paraId="377281A5" w14:textId="1CFA6D6D" w:rsidR="00D60C7E" w:rsidRDefault="00D60C7E" w:rsidP="008F60DF"/>
        </w:tc>
      </w:tr>
      <w:tr w:rsidR="00D60C7E" w14:paraId="614012BD" w14:textId="77777777" w:rsidTr="008F60DF">
        <w:tc>
          <w:tcPr>
            <w:tcW w:w="839" w:type="dxa"/>
            <w:vAlign w:val="center"/>
          </w:tcPr>
          <w:p w14:paraId="5BDEA4CD" w14:textId="164FBEC2" w:rsidR="00D60C7E" w:rsidRDefault="00D60C7E" w:rsidP="008F60DF">
            <w:r>
              <w:t>3</w:t>
            </w:r>
          </w:p>
        </w:tc>
        <w:tc>
          <w:tcPr>
            <w:tcW w:w="1136" w:type="dxa"/>
            <w:vAlign w:val="center"/>
          </w:tcPr>
          <w:p w14:paraId="7C3D6565" w14:textId="4CEEBF92" w:rsidR="00D60C7E" w:rsidRDefault="00D60C7E" w:rsidP="008F60DF">
            <w:r>
              <w:t>January</w:t>
            </w:r>
          </w:p>
          <w:p w14:paraId="076540C4" w14:textId="73404E67" w:rsidR="00D60C7E" w:rsidRDefault="00F00C11" w:rsidP="008F60DF">
            <w:r>
              <w:t>26</w:t>
            </w:r>
            <w:r w:rsidR="00D60C7E">
              <w:t xml:space="preserve"> – </w:t>
            </w:r>
            <w:r>
              <w:t>30</w:t>
            </w:r>
          </w:p>
        </w:tc>
        <w:tc>
          <w:tcPr>
            <w:tcW w:w="4410" w:type="dxa"/>
            <w:vAlign w:val="center"/>
          </w:tcPr>
          <w:p w14:paraId="52724F15" w14:textId="63ED7611" w:rsidR="00D60C7E" w:rsidRDefault="00D60C7E" w:rsidP="008F60DF">
            <w:r w:rsidRPr="00E32CB7">
              <w:rPr>
                <w:rFonts w:cs="Arial"/>
              </w:rPr>
              <w:t xml:space="preserve"> </w:t>
            </w:r>
            <w:r w:rsidR="005D7ACF">
              <w:rPr>
                <w:rFonts w:cs="Arial"/>
              </w:rPr>
              <w:t>Writing and Writing Strategies</w:t>
            </w:r>
          </w:p>
        </w:tc>
        <w:tc>
          <w:tcPr>
            <w:tcW w:w="3798" w:type="dxa"/>
            <w:vAlign w:val="center"/>
          </w:tcPr>
          <w:p w14:paraId="0650B518" w14:textId="14BC79BC" w:rsidR="00D60C7E" w:rsidRDefault="00D60C7E" w:rsidP="008F60DF"/>
        </w:tc>
      </w:tr>
      <w:tr w:rsidR="00D60C7E" w14:paraId="752AA568" w14:textId="77777777" w:rsidTr="008F60DF">
        <w:tc>
          <w:tcPr>
            <w:tcW w:w="839" w:type="dxa"/>
            <w:vAlign w:val="center"/>
          </w:tcPr>
          <w:p w14:paraId="721BBF43" w14:textId="0C55D2D9" w:rsidR="00D60C7E" w:rsidRDefault="00D60C7E" w:rsidP="008F60DF">
            <w:r>
              <w:t>4</w:t>
            </w:r>
          </w:p>
        </w:tc>
        <w:tc>
          <w:tcPr>
            <w:tcW w:w="1136" w:type="dxa"/>
            <w:vAlign w:val="center"/>
          </w:tcPr>
          <w:p w14:paraId="633241D1" w14:textId="4E718EDA" w:rsidR="00D60C7E" w:rsidRDefault="00F00C11" w:rsidP="008F60DF">
            <w:r>
              <w:t>February</w:t>
            </w:r>
          </w:p>
          <w:p w14:paraId="2D856F0B" w14:textId="095BD611" w:rsidR="00D60C7E" w:rsidRDefault="00F00C11" w:rsidP="008F60DF">
            <w:r>
              <w:t>2</w:t>
            </w:r>
            <w:r w:rsidR="00D60C7E">
              <w:t xml:space="preserve"> – </w:t>
            </w:r>
            <w:r>
              <w:t>6</w:t>
            </w:r>
          </w:p>
        </w:tc>
        <w:tc>
          <w:tcPr>
            <w:tcW w:w="4410" w:type="dxa"/>
            <w:vAlign w:val="center"/>
          </w:tcPr>
          <w:p w14:paraId="7301BCA7" w14:textId="699B8D32" w:rsidR="00D60C7E" w:rsidRDefault="005D7ACF" w:rsidP="008F60DF">
            <w:r>
              <w:t>Mentoring and Relationships</w:t>
            </w:r>
          </w:p>
        </w:tc>
        <w:tc>
          <w:tcPr>
            <w:tcW w:w="3798" w:type="dxa"/>
            <w:vAlign w:val="center"/>
          </w:tcPr>
          <w:p w14:paraId="24AF53B2" w14:textId="52D0090A" w:rsidR="00D60C7E" w:rsidRDefault="00D60C7E" w:rsidP="008F60DF"/>
        </w:tc>
      </w:tr>
      <w:tr w:rsidR="00D60C7E" w14:paraId="5976E067" w14:textId="77777777" w:rsidTr="008F60DF">
        <w:tc>
          <w:tcPr>
            <w:tcW w:w="839" w:type="dxa"/>
            <w:vAlign w:val="center"/>
          </w:tcPr>
          <w:p w14:paraId="00188D82" w14:textId="5386956A" w:rsidR="00D60C7E" w:rsidRDefault="00D60C7E" w:rsidP="008F60DF">
            <w:r>
              <w:t>5</w:t>
            </w:r>
          </w:p>
        </w:tc>
        <w:tc>
          <w:tcPr>
            <w:tcW w:w="1136" w:type="dxa"/>
            <w:vAlign w:val="center"/>
          </w:tcPr>
          <w:p w14:paraId="3246CF51" w14:textId="77777777" w:rsidR="00D60C7E" w:rsidRDefault="00D60C7E" w:rsidP="008F60DF">
            <w:r>
              <w:t>February</w:t>
            </w:r>
          </w:p>
          <w:p w14:paraId="48F9581E" w14:textId="7BB9A9E3" w:rsidR="00D60C7E" w:rsidRDefault="00F00C11" w:rsidP="008F60DF">
            <w:r>
              <w:t>9</w:t>
            </w:r>
            <w:r w:rsidR="00D60C7E">
              <w:t xml:space="preserve"> – 1</w:t>
            </w:r>
            <w:r>
              <w:t>3</w:t>
            </w:r>
          </w:p>
        </w:tc>
        <w:tc>
          <w:tcPr>
            <w:tcW w:w="4410" w:type="dxa"/>
            <w:vAlign w:val="center"/>
          </w:tcPr>
          <w:p w14:paraId="20B650F7" w14:textId="61F7CA03" w:rsidR="00D60C7E" w:rsidRDefault="00D60C7E" w:rsidP="008F60DF">
            <w:r w:rsidRPr="00E32CB7">
              <w:rPr>
                <w:rFonts w:cs="Arial"/>
              </w:rPr>
              <w:t xml:space="preserve"> </w:t>
            </w:r>
            <w:r w:rsidR="005D7ACF">
              <w:rPr>
                <w:rFonts w:cs="Arial"/>
              </w:rPr>
              <w:t>Open Science</w:t>
            </w:r>
          </w:p>
        </w:tc>
        <w:tc>
          <w:tcPr>
            <w:tcW w:w="3798" w:type="dxa"/>
            <w:vAlign w:val="center"/>
          </w:tcPr>
          <w:p w14:paraId="0D4CE196" w14:textId="21B1A74D" w:rsidR="00D60C7E" w:rsidRDefault="00D60C7E" w:rsidP="008F60DF"/>
        </w:tc>
      </w:tr>
      <w:tr w:rsidR="00D60C7E" w14:paraId="513EC2F0" w14:textId="77777777" w:rsidTr="008F60DF">
        <w:tc>
          <w:tcPr>
            <w:tcW w:w="839" w:type="dxa"/>
            <w:vAlign w:val="center"/>
          </w:tcPr>
          <w:p w14:paraId="408BB000" w14:textId="6D1EE164" w:rsidR="00D60C7E" w:rsidRDefault="00D60C7E" w:rsidP="008F60DF">
            <w:r>
              <w:t>6</w:t>
            </w:r>
          </w:p>
        </w:tc>
        <w:tc>
          <w:tcPr>
            <w:tcW w:w="1136" w:type="dxa"/>
            <w:vAlign w:val="center"/>
          </w:tcPr>
          <w:p w14:paraId="146FF0FB" w14:textId="77777777" w:rsidR="00D60C7E" w:rsidRDefault="00D60C7E" w:rsidP="008F60DF">
            <w:r>
              <w:t>February</w:t>
            </w:r>
          </w:p>
          <w:p w14:paraId="49EBCF02" w14:textId="69955266" w:rsidR="00D60C7E" w:rsidRDefault="00D60C7E" w:rsidP="008F60DF">
            <w:r>
              <w:t>1</w:t>
            </w:r>
            <w:r w:rsidR="009D673F">
              <w:t>6</w:t>
            </w:r>
            <w:r>
              <w:t xml:space="preserve"> – </w:t>
            </w:r>
            <w:r w:rsidR="009D673F">
              <w:t>20</w:t>
            </w:r>
          </w:p>
        </w:tc>
        <w:tc>
          <w:tcPr>
            <w:tcW w:w="4410" w:type="dxa"/>
            <w:vAlign w:val="center"/>
          </w:tcPr>
          <w:p w14:paraId="767165DA" w14:textId="51E54500" w:rsidR="00D60C7E" w:rsidRDefault="00D60C7E" w:rsidP="008F60DF">
            <w:r w:rsidRPr="00E32CB7">
              <w:rPr>
                <w:rFonts w:cs="Arial"/>
              </w:rPr>
              <w:t xml:space="preserve"> </w:t>
            </w:r>
            <w:r w:rsidR="005D7ACF">
              <w:rPr>
                <w:rFonts w:cs="Arial"/>
              </w:rPr>
              <w:t>Lab and Research Team Management</w:t>
            </w:r>
          </w:p>
        </w:tc>
        <w:tc>
          <w:tcPr>
            <w:tcW w:w="3798" w:type="dxa"/>
            <w:vAlign w:val="center"/>
          </w:tcPr>
          <w:p w14:paraId="775D4C23" w14:textId="376C0512" w:rsidR="00D60C7E" w:rsidRDefault="00D60C7E" w:rsidP="008F60DF"/>
        </w:tc>
      </w:tr>
      <w:tr w:rsidR="00D60C7E" w14:paraId="17653DA8" w14:textId="77777777" w:rsidTr="008F60DF">
        <w:tc>
          <w:tcPr>
            <w:tcW w:w="839" w:type="dxa"/>
            <w:vAlign w:val="center"/>
          </w:tcPr>
          <w:p w14:paraId="6FC96480" w14:textId="11EA0600" w:rsidR="00D60C7E" w:rsidRDefault="00D60C7E" w:rsidP="008F60DF">
            <w:r>
              <w:lastRenderedPageBreak/>
              <w:t>7</w:t>
            </w:r>
          </w:p>
        </w:tc>
        <w:tc>
          <w:tcPr>
            <w:tcW w:w="1136" w:type="dxa"/>
            <w:vAlign w:val="center"/>
          </w:tcPr>
          <w:p w14:paraId="1DBEA92E" w14:textId="77777777" w:rsidR="00D60C7E" w:rsidRDefault="00D60C7E" w:rsidP="008F60DF">
            <w:r>
              <w:t>February</w:t>
            </w:r>
          </w:p>
          <w:p w14:paraId="1C21713F" w14:textId="2155310C" w:rsidR="00D60C7E" w:rsidRDefault="009D673F" w:rsidP="008F60DF">
            <w:r>
              <w:t>23</w:t>
            </w:r>
            <w:r w:rsidR="00D60C7E">
              <w:t xml:space="preserve"> – 2</w:t>
            </w:r>
            <w:r>
              <w:t>7</w:t>
            </w:r>
          </w:p>
        </w:tc>
        <w:tc>
          <w:tcPr>
            <w:tcW w:w="4410" w:type="dxa"/>
            <w:vAlign w:val="center"/>
          </w:tcPr>
          <w:p w14:paraId="4A024358" w14:textId="6BBFF64D" w:rsidR="00D60C7E" w:rsidRDefault="005D7ACF" w:rsidP="008F60DF">
            <w:r>
              <w:t>Collaborating</w:t>
            </w:r>
          </w:p>
        </w:tc>
        <w:tc>
          <w:tcPr>
            <w:tcW w:w="3798" w:type="dxa"/>
            <w:vAlign w:val="center"/>
          </w:tcPr>
          <w:p w14:paraId="53DE6F6B" w14:textId="76DF36BF" w:rsidR="00D60C7E" w:rsidRDefault="00D60C7E" w:rsidP="00AD7EFA"/>
        </w:tc>
      </w:tr>
      <w:tr w:rsidR="00D60C7E" w14:paraId="145E5758" w14:textId="77777777" w:rsidTr="008F60DF">
        <w:tc>
          <w:tcPr>
            <w:tcW w:w="839" w:type="dxa"/>
            <w:vAlign w:val="center"/>
          </w:tcPr>
          <w:p w14:paraId="033D55A6" w14:textId="0249984D" w:rsidR="00D60C7E" w:rsidRDefault="00D60C7E" w:rsidP="008F60DF">
            <w:r>
              <w:t>8</w:t>
            </w:r>
          </w:p>
        </w:tc>
        <w:tc>
          <w:tcPr>
            <w:tcW w:w="1136" w:type="dxa"/>
            <w:vAlign w:val="center"/>
          </w:tcPr>
          <w:p w14:paraId="35E213BC" w14:textId="1F2728AF" w:rsidR="00D60C7E" w:rsidRDefault="009D673F" w:rsidP="008F60DF">
            <w:r>
              <w:t>March</w:t>
            </w:r>
          </w:p>
          <w:p w14:paraId="630B7321" w14:textId="7705F59D" w:rsidR="00D60C7E" w:rsidRDefault="00D60C7E" w:rsidP="008F60DF">
            <w:r>
              <w:t xml:space="preserve">2 – </w:t>
            </w:r>
            <w:r w:rsidR="009D673F">
              <w:t>6</w:t>
            </w:r>
          </w:p>
        </w:tc>
        <w:tc>
          <w:tcPr>
            <w:tcW w:w="4410" w:type="dxa"/>
            <w:vAlign w:val="center"/>
          </w:tcPr>
          <w:p w14:paraId="494CB12D" w14:textId="573DAEEF" w:rsidR="00D60C7E" w:rsidRDefault="005D7ACF" w:rsidP="008F60DF">
            <w:r>
              <w:t>AI in Teaching and Research</w:t>
            </w:r>
          </w:p>
        </w:tc>
        <w:tc>
          <w:tcPr>
            <w:tcW w:w="3798" w:type="dxa"/>
            <w:vAlign w:val="center"/>
          </w:tcPr>
          <w:p w14:paraId="1E35E351" w14:textId="531055EE" w:rsidR="00D60C7E" w:rsidRDefault="00D60C7E" w:rsidP="008F60DF"/>
        </w:tc>
      </w:tr>
      <w:tr w:rsidR="00D60C7E" w14:paraId="0293C1C7" w14:textId="77777777" w:rsidTr="008F60DF">
        <w:tc>
          <w:tcPr>
            <w:tcW w:w="839" w:type="dxa"/>
            <w:vAlign w:val="center"/>
          </w:tcPr>
          <w:p w14:paraId="27FEE3B3" w14:textId="797DB01A" w:rsidR="00D60C7E" w:rsidRDefault="00D60C7E" w:rsidP="008F60DF">
            <w:r>
              <w:t>9</w:t>
            </w:r>
          </w:p>
        </w:tc>
        <w:tc>
          <w:tcPr>
            <w:tcW w:w="1136" w:type="dxa"/>
            <w:vAlign w:val="center"/>
          </w:tcPr>
          <w:p w14:paraId="5A5BF0A1" w14:textId="77777777" w:rsidR="00D60C7E" w:rsidRDefault="00D60C7E" w:rsidP="008F60DF">
            <w:r>
              <w:t>March</w:t>
            </w:r>
          </w:p>
          <w:p w14:paraId="787224EA" w14:textId="14A62A85" w:rsidR="00D60C7E" w:rsidRDefault="009D673F" w:rsidP="008F60DF">
            <w:r>
              <w:t>9</w:t>
            </w:r>
            <w:r w:rsidR="00D60C7E">
              <w:t xml:space="preserve"> – 1</w:t>
            </w:r>
            <w:r>
              <w:t>3</w:t>
            </w:r>
          </w:p>
        </w:tc>
        <w:tc>
          <w:tcPr>
            <w:tcW w:w="4410" w:type="dxa"/>
            <w:vAlign w:val="center"/>
          </w:tcPr>
          <w:p w14:paraId="4DFF0B82" w14:textId="08ADFDF5" w:rsidR="00D60C7E" w:rsidRDefault="005D7ACF" w:rsidP="008F60DF">
            <w:r>
              <w:t>Research Jobs</w:t>
            </w:r>
          </w:p>
        </w:tc>
        <w:tc>
          <w:tcPr>
            <w:tcW w:w="3798" w:type="dxa"/>
            <w:vAlign w:val="center"/>
          </w:tcPr>
          <w:p w14:paraId="4C6966A6" w14:textId="7DAA896A" w:rsidR="00D60C7E" w:rsidRDefault="00D60C7E" w:rsidP="008F60DF"/>
        </w:tc>
      </w:tr>
      <w:tr w:rsidR="00D60C7E" w14:paraId="56CF859E" w14:textId="77777777" w:rsidTr="008F60DF">
        <w:tc>
          <w:tcPr>
            <w:tcW w:w="839" w:type="dxa"/>
            <w:vAlign w:val="center"/>
          </w:tcPr>
          <w:p w14:paraId="100B14ED" w14:textId="7F260F91" w:rsidR="00D60C7E" w:rsidRDefault="00D60C7E" w:rsidP="008F60DF">
            <w:r>
              <w:t>10</w:t>
            </w:r>
          </w:p>
        </w:tc>
        <w:tc>
          <w:tcPr>
            <w:tcW w:w="1136" w:type="dxa"/>
            <w:vAlign w:val="center"/>
          </w:tcPr>
          <w:p w14:paraId="7F3D292E" w14:textId="77777777" w:rsidR="00D60C7E" w:rsidRDefault="00D60C7E" w:rsidP="008F60DF">
            <w:r>
              <w:t>March</w:t>
            </w:r>
          </w:p>
          <w:p w14:paraId="142E8A6A" w14:textId="0877433B" w:rsidR="00D60C7E" w:rsidRDefault="00D60C7E" w:rsidP="008F60DF">
            <w:r>
              <w:t>1</w:t>
            </w:r>
            <w:r w:rsidR="00774451">
              <w:t>6</w:t>
            </w:r>
            <w:r>
              <w:t xml:space="preserve"> – </w:t>
            </w:r>
            <w:r w:rsidR="00774451">
              <w:t>20</w:t>
            </w:r>
          </w:p>
        </w:tc>
        <w:tc>
          <w:tcPr>
            <w:tcW w:w="4410" w:type="dxa"/>
            <w:vAlign w:val="center"/>
          </w:tcPr>
          <w:p w14:paraId="5880AE77" w14:textId="358FEC70" w:rsidR="00D60C7E" w:rsidRDefault="003D46F2" w:rsidP="008F60DF">
            <w:r>
              <w:t>Spring Break</w:t>
            </w:r>
          </w:p>
        </w:tc>
        <w:tc>
          <w:tcPr>
            <w:tcW w:w="3798" w:type="dxa"/>
            <w:vAlign w:val="center"/>
          </w:tcPr>
          <w:p w14:paraId="5BB200A4" w14:textId="34BD696C" w:rsidR="00D60C7E" w:rsidRDefault="00D60C7E" w:rsidP="008F60DF"/>
        </w:tc>
      </w:tr>
      <w:tr w:rsidR="00D60C7E" w14:paraId="0BA52DE5" w14:textId="77777777" w:rsidTr="008F60DF">
        <w:tc>
          <w:tcPr>
            <w:tcW w:w="839" w:type="dxa"/>
            <w:vAlign w:val="center"/>
          </w:tcPr>
          <w:p w14:paraId="7A921496" w14:textId="1EF023FA" w:rsidR="00D60C7E" w:rsidRDefault="00D60C7E" w:rsidP="008F60DF">
            <w:r>
              <w:t>11</w:t>
            </w:r>
          </w:p>
        </w:tc>
        <w:tc>
          <w:tcPr>
            <w:tcW w:w="1136" w:type="dxa"/>
            <w:vAlign w:val="center"/>
          </w:tcPr>
          <w:p w14:paraId="66B5805B" w14:textId="77777777" w:rsidR="00D60C7E" w:rsidRDefault="00D60C7E" w:rsidP="008F60DF">
            <w:r>
              <w:t>March</w:t>
            </w:r>
          </w:p>
          <w:p w14:paraId="512CB4BA" w14:textId="023A87CA" w:rsidR="00D60C7E" w:rsidRDefault="00D60C7E" w:rsidP="008F60DF">
            <w:r>
              <w:t>2</w:t>
            </w:r>
            <w:r w:rsidR="00870A03">
              <w:t>3</w:t>
            </w:r>
            <w:r>
              <w:t xml:space="preserve"> – 2</w:t>
            </w:r>
            <w:r w:rsidR="00870A03">
              <w:t>7</w:t>
            </w:r>
          </w:p>
        </w:tc>
        <w:tc>
          <w:tcPr>
            <w:tcW w:w="4410" w:type="dxa"/>
            <w:vAlign w:val="center"/>
          </w:tcPr>
          <w:p w14:paraId="3B1E35B0" w14:textId="101225AE" w:rsidR="00D60C7E" w:rsidRDefault="005D7ACF" w:rsidP="008F60DF">
            <w:r>
              <w:t>Teaching Jobs</w:t>
            </w:r>
          </w:p>
        </w:tc>
        <w:tc>
          <w:tcPr>
            <w:tcW w:w="3798" w:type="dxa"/>
            <w:vAlign w:val="center"/>
          </w:tcPr>
          <w:p w14:paraId="10FE6CEB" w14:textId="3C65A925" w:rsidR="00D60C7E" w:rsidRPr="00D4151D" w:rsidRDefault="00D60C7E" w:rsidP="008F60DF"/>
        </w:tc>
      </w:tr>
      <w:tr w:rsidR="00D60C7E" w14:paraId="07ACEB7A" w14:textId="77777777" w:rsidTr="008F60DF">
        <w:tc>
          <w:tcPr>
            <w:tcW w:w="839" w:type="dxa"/>
            <w:vAlign w:val="center"/>
          </w:tcPr>
          <w:p w14:paraId="71013CDE" w14:textId="1467F07B" w:rsidR="00D60C7E" w:rsidRDefault="00D60C7E" w:rsidP="008F60DF">
            <w:r>
              <w:t>12</w:t>
            </w:r>
          </w:p>
        </w:tc>
        <w:tc>
          <w:tcPr>
            <w:tcW w:w="1136" w:type="dxa"/>
            <w:vAlign w:val="center"/>
          </w:tcPr>
          <w:p w14:paraId="1D36C7CE" w14:textId="77777777" w:rsidR="00D60C7E" w:rsidRDefault="00D60C7E" w:rsidP="008F60DF">
            <w:r>
              <w:t>March</w:t>
            </w:r>
          </w:p>
          <w:p w14:paraId="5788FC18" w14:textId="0945DCFB" w:rsidR="00D60C7E" w:rsidRDefault="00870A03" w:rsidP="008F60DF">
            <w:r>
              <w:t>30</w:t>
            </w:r>
            <w:r w:rsidR="00D60C7E">
              <w:t xml:space="preserve"> – Apr </w:t>
            </w:r>
            <w:r>
              <w:t>3</w:t>
            </w:r>
          </w:p>
        </w:tc>
        <w:tc>
          <w:tcPr>
            <w:tcW w:w="4410" w:type="dxa"/>
            <w:vAlign w:val="center"/>
          </w:tcPr>
          <w:p w14:paraId="3D3C10D7" w14:textId="5DE1CFAB" w:rsidR="00D60C7E" w:rsidRPr="00AD7EFA" w:rsidRDefault="005D7ACF" w:rsidP="008F60DF">
            <w:pPr>
              <w:rPr>
                <w:rFonts w:cs="Arial"/>
              </w:rPr>
            </w:pPr>
            <w:r>
              <w:rPr>
                <w:rFonts w:cs="Arial"/>
              </w:rPr>
              <w:t>Non-Academic/Industry Jobs</w:t>
            </w:r>
          </w:p>
        </w:tc>
        <w:tc>
          <w:tcPr>
            <w:tcW w:w="3798" w:type="dxa"/>
            <w:vAlign w:val="center"/>
          </w:tcPr>
          <w:p w14:paraId="445EE611" w14:textId="7D13429D" w:rsidR="00D60C7E" w:rsidRDefault="00D60C7E" w:rsidP="008F60DF"/>
        </w:tc>
      </w:tr>
      <w:tr w:rsidR="00D60C7E" w14:paraId="08FAA637" w14:textId="77777777" w:rsidTr="008F60DF">
        <w:tc>
          <w:tcPr>
            <w:tcW w:w="839" w:type="dxa"/>
            <w:vAlign w:val="center"/>
          </w:tcPr>
          <w:p w14:paraId="01B8D665" w14:textId="01DCF18A" w:rsidR="00D60C7E" w:rsidRDefault="00D60C7E" w:rsidP="008F60DF">
            <w:r>
              <w:t>13</w:t>
            </w:r>
          </w:p>
        </w:tc>
        <w:tc>
          <w:tcPr>
            <w:tcW w:w="1136" w:type="dxa"/>
            <w:vAlign w:val="center"/>
          </w:tcPr>
          <w:p w14:paraId="7F30265A" w14:textId="77777777" w:rsidR="00D60C7E" w:rsidRDefault="00D60C7E" w:rsidP="008F60DF">
            <w:r>
              <w:t>April</w:t>
            </w:r>
          </w:p>
          <w:p w14:paraId="2B059631" w14:textId="711331EA" w:rsidR="00D60C7E" w:rsidRDefault="00870A03" w:rsidP="008F60DF">
            <w:r>
              <w:t>6</w:t>
            </w:r>
            <w:r w:rsidR="00D60C7E">
              <w:t xml:space="preserve"> – </w:t>
            </w:r>
            <w:r>
              <w:t>10</w:t>
            </w:r>
          </w:p>
        </w:tc>
        <w:tc>
          <w:tcPr>
            <w:tcW w:w="4410" w:type="dxa"/>
            <w:vAlign w:val="center"/>
          </w:tcPr>
          <w:p w14:paraId="105FA3CF" w14:textId="2F722FFD" w:rsidR="00D60C7E" w:rsidRDefault="00DA51D1" w:rsidP="008F60DF">
            <w:r>
              <w:t>From the perspective of the University, Dean, and Chair</w:t>
            </w:r>
          </w:p>
        </w:tc>
        <w:tc>
          <w:tcPr>
            <w:tcW w:w="3798" w:type="dxa"/>
            <w:vAlign w:val="center"/>
          </w:tcPr>
          <w:p w14:paraId="401BE3B0" w14:textId="3CF3146A" w:rsidR="00D60C7E" w:rsidRDefault="00D60C7E" w:rsidP="008F60DF"/>
        </w:tc>
      </w:tr>
      <w:tr w:rsidR="00D60C7E" w14:paraId="64001ACB" w14:textId="77777777" w:rsidTr="008F60DF">
        <w:tc>
          <w:tcPr>
            <w:tcW w:w="839" w:type="dxa"/>
            <w:vAlign w:val="center"/>
          </w:tcPr>
          <w:p w14:paraId="1C5CD502" w14:textId="67AF9580" w:rsidR="00D60C7E" w:rsidRDefault="00D60C7E" w:rsidP="008F60DF">
            <w:r>
              <w:t>14</w:t>
            </w:r>
          </w:p>
        </w:tc>
        <w:tc>
          <w:tcPr>
            <w:tcW w:w="1136" w:type="dxa"/>
            <w:vAlign w:val="center"/>
          </w:tcPr>
          <w:p w14:paraId="65C94090" w14:textId="77777777" w:rsidR="00D60C7E" w:rsidRDefault="00D60C7E" w:rsidP="008F60DF">
            <w:r>
              <w:t>April</w:t>
            </w:r>
          </w:p>
          <w:p w14:paraId="30647655" w14:textId="10A58A7C" w:rsidR="00D60C7E" w:rsidRDefault="00D60C7E" w:rsidP="008F60DF">
            <w:r>
              <w:t>1</w:t>
            </w:r>
            <w:r w:rsidR="00870A03">
              <w:t>3</w:t>
            </w:r>
            <w:r>
              <w:t xml:space="preserve"> – 1</w:t>
            </w:r>
            <w:r w:rsidR="00870A03">
              <w:t>7</w:t>
            </w:r>
          </w:p>
        </w:tc>
        <w:tc>
          <w:tcPr>
            <w:tcW w:w="4410" w:type="dxa"/>
            <w:vAlign w:val="center"/>
          </w:tcPr>
          <w:p w14:paraId="191C7518" w14:textId="23CA9EF7" w:rsidR="00D60C7E" w:rsidRDefault="00DA51D1" w:rsidP="008F60DF">
            <w:r>
              <w:t>Class Wrap up</w:t>
            </w:r>
          </w:p>
        </w:tc>
        <w:tc>
          <w:tcPr>
            <w:tcW w:w="3798" w:type="dxa"/>
            <w:vAlign w:val="center"/>
          </w:tcPr>
          <w:p w14:paraId="73C4E7DE" w14:textId="5462F9FA" w:rsidR="00D60C7E" w:rsidRDefault="00D60C7E" w:rsidP="008F60DF"/>
        </w:tc>
      </w:tr>
      <w:tr w:rsidR="00D60C7E" w14:paraId="6DF78A38" w14:textId="77777777" w:rsidTr="008F60DF">
        <w:tc>
          <w:tcPr>
            <w:tcW w:w="839" w:type="dxa"/>
            <w:vAlign w:val="center"/>
          </w:tcPr>
          <w:p w14:paraId="12F19FD1" w14:textId="29C09FDB" w:rsidR="00D60C7E" w:rsidRDefault="00D60C7E" w:rsidP="008F60DF">
            <w:r>
              <w:t>15</w:t>
            </w:r>
          </w:p>
        </w:tc>
        <w:tc>
          <w:tcPr>
            <w:tcW w:w="1136" w:type="dxa"/>
            <w:vAlign w:val="center"/>
          </w:tcPr>
          <w:p w14:paraId="5419C9A7" w14:textId="77777777" w:rsidR="00D60C7E" w:rsidRDefault="00D60C7E" w:rsidP="008F60DF">
            <w:r>
              <w:t>April</w:t>
            </w:r>
          </w:p>
          <w:p w14:paraId="5A8CD8E2" w14:textId="77A69DED" w:rsidR="00D60C7E" w:rsidRDefault="00FB0CD7" w:rsidP="008F60DF">
            <w:r>
              <w:t>20</w:t>
            </w:r>
            <w:r w:rsidR="00D60C7E">
              <w:t xml:space="preserve"> – 2</w:t>
            </w:r>
            <w:r>
              <w:t>4</w:t>
            </w:r>
          </w:p>
        </w:tc>
        <w:tc>
          <w:tcPr>
            <w:tcW w:w="4410" w:type="dxa"/>
            <w:vAlign w:val="center"/>
          </w:tcPr>
          <w:p w14:paraId="68694CA3" w14:textId="5C0E1373" w:rsidR="00D60C7E" w:rsidRDefault="00DA51D1" w:rsidP="008F60DF">
            <w:r>
              <w:t>Catch up Week</w:t>
            </w:r>
          </w:p>
        </w:tc>
        <w:tc>
          <w:tcPr>
            <w:tcW w:w="3798" w:type="dxa"/>
            <w:vAlign w:val="center"/>
          </w:tcPr>
          <w:p w14:paraId="2AADF0B1" w14:textId="741CD2FE" w:rsidR="00D60C7E" w:rsidRDefault="00D60C7E" w:rsidP="008F60DF"/>
        </w:tc>
      </w:tr>
    </w:tbl>
    <w:p w14:paraId="2E677C39" w14:textId="6078570B" w:rsidR="00E22DE2" w:rsidRDefault="00E22DE2" w:rsidP="00E22DE2">
      <w:pPr>
        <w:spacing w:after="0" w:line="240" w:lineRule="auto"/>
        <w:rPr>
          <w:sz w:val="30"/>
          <w:szCs w:val="30"/>
        </w:rPr>
      </w:pPr>
    </w:p>
    <w:p w14:paraId="1B834ACD" w14:textId="5DB26508" w:rsidR="00D60C7E" w:rsidRPr="000D53EF" w:rsidRDefault="00D60C7E" w:rsidP="00D60C7E">
      <w:pPr>
        <w:pStyle w:val="Heading3"/>
      </w:pPr>
    </w:p>
    <w:sectPr w:rsidR="00D60C7E" w:rsidRP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EDCB" w14:textId="77777777" w:rsidR="00AA649C" w:rsidRDefault="00AA649C" w:rsidP="00A74CD6">
      <w:pPr>
        <w:spacing w:after="0" w:line="240" w:lineRule="auto"/>
      </w:pPr>
      <w:r>
        <w:separator/>
      </w:r>
    </w:p>
  </w:endnote>
  <w:endnote w:type="continuationSeparator" w:id="0">
    <w:p w14:paraId="7D39AF42" w14:textId="77777777" w:rsidR="00AA649C" w:rsidRDefault="00AA649C"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C941" w14:textId="77777777" w:rsidR="00AA649C" w:rsidRDefault="00AA649C" w:rsidP="00A74CD6">
      <w:pPr>
        <w:spacing w:after="0" w:line="240" w:lineRule="auto"/>
      </w:pPr>
      <w:r>
        <w:separator/>
      </w:r>
    </w:p>
  </w:footnote>
  <w:footnote w:type="continuationSeparator" w:id="0">
    <w:p w14:paraId="4AABC4BE" w14:textId="77777777" w:rsidR="00AA649C" w:rsidRDefault="00AA649C"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8C0A90"/>
    <w:multiLevelType w:val="hybridMultilevel"/>
    <w:tmpl w:val="1F70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num w:numId="1" w16cid:durableId="515122372">
    <w:abstractNumId w:val="11"/>
  </w:num>
  <w:num w:numId="2" w16cid:durableId="730730511">
    <w:abstractNumId w:val="1"/>
  </w:num>
  <w:num w:numId="3" w16cid:durableId="1772386505">
    <w:abstractNumId w:val="4"/>
  </w:num>
  <w:num w:numId="4" w16cid:durableId="830754838">
    <w:abstractNumId w:val="20"/>
  </w:num>
  <w:num w:numId="5" w16cid:durableId="1874534522">
    <w:abstractNumId w:val="6"/>
  </w:num>
  <w:num w:numId="6" w16cid:durableId="709846500">
    <w:abstractNumId w:val="13"/>
  </w:num>
  <w:num w:numId="7" w16cid:durableId="706566348">
    <w:abstractNumId w:val="17"/>
  </w:num>
  <w:num w:numId="8" w16cid:durableId="1593976634">
    <w:abstractNumId w:val="14"/>
  </w:num>
  <w:num w:numId="9" w16cid:durableId="498276685">
    <w:abstractNumId w:val="12"/>
  </w:num>
  <w:num w:numId="10" w16cid:durableId="960646670">
    <w:abstractNumId w:val="19"/>
  </w:num>
  <w:num w:numId="11" w16cid:durableId="1101997519">
    <w:abstractNumId w:val="9"/>
  </w:num>
  <w:num w:numId="12" w16cid:durableId="1801459470">
    <w:abstractNumId w:val="0"/>
  </w:num>
  <w:num w:numId="13" w16cid:durableId="1614482817">
    <w:abstractNumId w:val="8"/>
  </w:num>
  <w:num w:numId="14" w16cid:durableId="675764063">
    <w:abstractNumId w:val="10"/>
  </w:num>
  <w:num w:numId="15" w16cid:durableId="1321151436">
    <w:abstractNumId w:val="5"/>
  </w:num>
  <w:num w:numId="16" w16cid:durableId="163978717">
    <w:abstractNumId w:val="16"/>
  </w:num>
  <w:num w:numId="17" w16cid:durableId="588974818">
    <w:abstractNumId w:val="15"/>
  </w:num>
  <w:num w:numId="18" w16cid:durableId="2083717453">
    <w:abstractNumId w:val="3"/>
  </w:num>
  <w:num w:numId="19" w16cid:durableId="1897204651">
    <w:abstractNumId w:val="18"/>
  </w:num>
  <w:num w:numId="20" w16cid:durableId="678309828">
    <w:abstractNumId w:val="2"/>
  </w:num>
  <w:num w:numId="21" w16cid:durableId="937372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3068"/>
    <w:rsid w:val="00024BEB"/>
    <w:rsid w:val="000268A9"/>
    <w:rsid w:val="00041802"/>
    <w:rsid w:val="00064811"/>
    <w:rsid w:val="00074E94"/>
    <w:rsid w:val="000A1E7F"/>
    <w:rsid w:val="000C5E4E"/>
    <w:rsid w:val="000D53EF"/>
    <w:rsid w:val="000E0126"/>
    <w:rsid w:val="000F4D7E"/>
    <w:rsid w:val="0012165A"/>
    <w:rsid w:val="001343C4"/>
    <w:rsid w:val="00174B64"/>
    <w:rsid w:val="001D0C5D"/>
    <w:rsid w:val="001F21E5"/>
    <w:rsid w:val="001F70AE"/>
    <w:rsid w:val="0023460E"/>
    <w:rsid w:val="0025073C"/>
    <w:rsid w:val="0026623C"/>
    <w:rsid w:val="0028595C"/>
    <w:rsid w:val="00295E3A"/>
    <w:rsid w:val="002A18CF"/>
    <w:rsid w:val="002D04B6"/>
    <w:rsid w:val="002D0F43"/>
    <w:rsid w:val="002E171C"/>
    <w:rsid w:val="003149E4"/>
    <w:rsid w:val="00316934"/>
    <w:rsid w:val="00360516"/>
    <w:rsid w:val="00361331"/>
    <w:rsid w:val="00375393"/>
    <w:rsid w:val="003856BF"/>
    <w:rsid w:val="003A6AFA"/>
    <w:rsid w:val="003D46F2"/>
    <w:rsid w:val="003D7217"/>
    <w:rsid w:val="003E104E"/>
    <w:rsid w:val="003E25E1"/>
    <w:rsid w:val="0044315D"/>
    <w:rsid w:val="004453A6"/>
    <w:rsid w:val="0046151C"/>
    <w:rsid w:val="0047592B"/>
    <w:rsid w:val="0048626B"/>
    <w:rsid w:val="004936E2"/>
    <w:rsid w:val="004B1EB8"/>
    <w:rsid w:val="004E59F6"/>
    <w:rsid w:val="004F1FC1"/>
    <w:rsid w:val="00505DE9"/>
    <w:rsid w:val="00506CEE"/>
    <w:rsid w:val="00510959"/>
    <w:rsid w:val="00532FCC"/>
    <w:rsid w:val="005449A9"/>
    <w:rsid w:val="00597CB3"/>
    <w:rsid w:val="005A23AF"/>
    <w:rsid w:val="005D5FFA"/>
    <w:rsid w:val="005D7ACF"/>
    <w:rsid w:val="005E2589"/>
    <w:rsid w:val="005E3F4B"/>
    <w:rsid w:val="005F4064"/>
    <w:rsid w:val="0061675B"/>
    <w:rsid w:val="0063590E"/>
    <w:rsid w:val="00667824"/>
    <w:rsid w:val="00674C49"/>
    <w:rsid w:val="00694433"/>
    <w:rsid w:val="006A60C8"/>
    <w:rsid w:val="006A68B7"/>
    <w:rsid w:val="006B0DC6"/>
    <w:rsid w:val="006C4A87"/>
    <w:rsid w:val="006C6A68"/>
    <w:rsid w:val="006F5004"/>
    <w:rsid w:val="00701D96"/>
    <w:rsid w:val="00774451"/>
    <w:rsid w:val="007751B0"/>
    <w:rsid w:val="00780A9E"/>
    <w:rsid w:val="00786EB6"/>
    <w:rsid w:val="007A453A"/>
    <w:rsid w:val="007B0ABA"/>
    <w:rsid w:val="007B3051"/>
    <w:rsid w:val="007B6BEF"/>
    <w:rsid w:val="00801A95"/>
    <w:rsid w:val="00813A77"/>
    <w:rsid w:val="0082247F"/>
    <w:rsid w:val="00822913"/>
    <w:rsid w:val="00837187"/>
    <w:rsid w:val="00856628"/>
    <w:rsid w:val="00870A03"/>
    <w:rsid w:val="00887FA8"/>
    <w:rsid w:val="008B0E13"/>
    <w:rsid w:val="008B7A43"/>
    <w:rsid w:val="008E2897"/>
    <w:rsid w:val="008E2C9A"/>
    <w:rsid w:val="008E568E"/>
    <w:rsid w:val="008F1DA5"/>
    <w:rsid w:val="008F512E"/>
    <w:rsid w:val="008F5B72"/>
    <w:rsid w:val="008F60DF"/>
    <w:rsid w:val="009065A1"/>
    <w:rsid w:val="00930876"/>
    <w:rsid w:val="00954B71"/>
    <w:rsid w:val="009560AE"/>
    <w:rsid w:val="00960897"/>
    <w:rsid w:val="00961380"/>
    <w:rsid w:val="00972C9A"/>
    <w:rsid w:val="00982084"/>
    <w:rsid w:val="009919C3"/>
    <w:rsid w:val="009C276E"/>
    <w:rsid w:val="009D673F"/>
    <w:rsid w:val="009E31BF"/>
    <w:rsid w:val="00A46F67"/>
    <w:rsid w:val="00A639BE"/>
    <w:rsid w:val="00A74CD6"/>
    <w:rsid w:val="00A87C63"/>
    <w:rsid w:val="00A93032"/>
    <w:rsid w:val="00AA3A0C"/>
    <w:rsid w:val="00AA649C"/>
    <w:rsid w:val="00AD0D80"/>
    <w:rsid w:val="00AD0D9C"/>
    <w:rsid w:val="00AD7EFA"/>
    <w:rsid w:val="00AE06E3"/>
    <w:rsid w:val="00AE082A"/>
    <w:rsid w:val="00B01DF1"/>
    <w:rsid w:val="00B01E52"/>
    <w:rsid w:val="00B11FFC"/>
    <w:rsid w:val="00B460C0"/>
    <w:rsid w:val="00B5577F"/>
    <w:rsid w:val="00B61862"/>
    <w:rsid w:val="00B7288D"/>
    <w:rsid w:val="00B82500"/>
    <w:rsid w:val="00B97282"/>
    <w:rsid w:val="00BB1333"/>
    <w:rsid w:val="00BF7E1D"/>
    <w:rsid w:val="00C04709"/>
    <w:rsid w:val="00C07B46"/>
    <w:rsid w:val="00C248E9"/>
    <w:rsid w:val="00C33B29"/>
    <w:rsid w:val="00C66257"/>
    <w:rsid w:val="00C83A85"/>
    <w:rsid w:val="00C91324"/>
    <w:rsid w:val="00C91883"/>
    <w:rsid w:val="00CC0A21"/>
    <w:rsid w:val="00CC4AEA"/>
    <w:rsid w:val="00D06B14"/>
    <w:rsid w:val="00D07749"/>
    <w:rsid w:val="00D33F4F"/>
    <w:rsid w:val="00D4151D"/>
    <w:rsid w:val="00D47120"/>
    <w:rsid w:val="00D60C7E"/>
    <w:rsid w:val="00DA51D1"/>
    <w:rsid w:val="00DA6C87"/>
    <w:rsid w:val="00DB6572"/>
    <w:rsid w:val="00DF36DB"/>
    <w:rsid w:val="00E22DE2"/>
    <w:rsid w:val="00E31885"/>
    <w:rsid w:val="00E41937"/>
    <w:rsid w:val="00E44239"/>
    <w:rsid w:val="00E46619"/>
    <w:rsid w:val="00E64391"/>
    <w:rsid w:val="00E72509"/>
    <w:rsid w:val="00E77B78"/>
    <w:rsid w:val="00E86337"/>
    <w:rsid w:val="00EC7D82"/>
    <w:rsid w:val="00ED3AFC"/>
    <w:rsid w:val="00EE6C39"/>
    <w:rsid w:val="00EF24C8"/>
    <w:rsid w:val="00F00C11"/>
    <w:rsid w:val="00F065A3"/>
    <w:rsid w:val="00F132D3"/>
    <w:rsid w:val="00F15CA0"/>
    <w:rsid w:val="00F21DA4"/>
    <w:rsid w:val="00F32671"/>
    <w:rsid w:val="00F47044"/>
    <w:rsid w:val="00F658AC"/>
    <w:rsid w:val="00F71AEE"/>
    <w:rsid w:val="00F765EF"/>
    <w:rsid w:val="00F93702"/>
    <w:rsid w:val="00F93E9F"/>
    <w:rsid w:val="00FA5EC5"/>
    <w:rsid w:val="00FB0CD7"/>
    <w:rsid w:val="00FB5646"/>
    <w:rsid w:val="00FE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Revision">
    <w:name w:val="Revision"/>
    <w:hidden/>
    <w:uiPriority w:val="99"/>
    <w:semiHidden/>
    <w:rsid w:val="00493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65734117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69852325">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dates-deadlines/2021-%202022/" TargetMode="External"/><Relationship Id="rId5" Type="http://schemas.openxmlformats.org/officeDocument/2006/relationships/webSettings" Target="webSettings.xml"/><Relationship Id="rId10" Type="http://schemas.openxmlformats.org/officeDocument/2006/relationships/hyperlink" Target="https://catalog.ufl.edu/UGRD/academic-regulations/grades-grading-policies/" TargetMode="External"/><Relationship Id="rId4" Type="http://schemas.openxmlformats.org/officeDocument/2006/relationships/settings" Target="settings.xml"/><Relationship Id="rId9" Type="http://schemas.openxmlformats.org/officeDocument/2006/relationships/hyperlink" Target="https://go.ufl.edu/syllabuspoli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4964</Characters>
  <Application>Microsoft Office Word</Application>
  <DocSecurity>4</DocSecurity>
  <Lines>107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Jake-Schoffman,Danielle</cp:lastModifiedBy>
  <cp:revision>2</cp:revision>
  <cp:lastPrinted>2021-08-09T16:33:00Z</cp:lastPrinted>
  <dcterms:created xsi:type="dcterms:W3CDTF">2025-11-24T00:49:00Z</dcterms:created>
  <dcterms:modified xsi:type="dcterms:W3CDTF">2025-11-24T00:49:00Z</dcterms:modified>
</cp:coreProperties>
</file>